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53" w:rsidRPr="00700774" w:rsidRDefault="002C6553" w:rsidP="002C6553">
      <w:pPr>
        <w:rPr>
          <w:rFonts w:ascii="Arabic Typesetting" w:hAnsi="Arabic Typesetting" w:cs="Arabic Typesetting"/>
          <w:b/>
          <w:bCs/>
          <w:sz w:val="96"/>
          <w:szCs w:val="96"/>
          <w:rtl/>
        </w:rPr>
      </w:pPr>
      <w:r w:rsidRPr="00700774">
        <w:rPr>
          <w:rFonts w:ascii="Arabic Typesetting" w:hAnsi="Arabic Typesetting" w:cs="Arabic Typesetting"/>
          <w:b/>
          <w:bCs/>
          <w:sz w:val="96"/>
          <w:szCs w:val="96"/>
          <w:rtl/>
        </w:rPr>
        <w:t xml:space="preserve">بسم الله ، والحمد لله ،والصلاة والسلام على رسول الله ،وبعد : فهذه </w:t>
      </w:r>
    </w:p>
    <w:p w:rsidR="002C6553" w:rsidRPr="00700774" w:rsidRDefault="002C6553" w:rsidP="002C6553">
      <w:pPr>
        <w:rPr>
          <w:rFonts w:ascii="Arabic Typesetting" w:hAnsi="Arabic Typesetting" w:cs="Arabic Typesetting"/>
          <w:b/>
          <w:bCs/>
          <w:sz w:val="96"/>
          <w:szCs w:val="96"/>
          <w:rtl/>
        </w:rPr>
      </w:pPr>
      <w:r w:rsidRPr="00700774">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700774">
        <w:rPr>
          <w:rFonts w:ascii="Arabic Typesetting" w:hAnsi="Arabic Typesetting" w:cs="Arabic Typesetting"/>
          <w:b/>
          <w:bCs/>
          <w:sz w:val="96"/>
          <w:szCs w:val="96"/>
          <w:rtl/>
        </w:rPr>
        <w:t xml:space="preserve"> والسبعون بعد الثلاثمائة في موضوع (الحفيظ) والتي هي</w:t>
      </w:r>
    </w:p>
    <w:p w:rsidR="002C6553" w:rsidRPr="005E5842" w:rsidRDefault="002C6553" w:rsidP="002C6553">
      <w:pPr>
        <w:rPr>
          <w:rFonts w:ascii="Arabic Typesetting" w:hAnsi="Arabic Typesetting" w:cs="Arabic Typesetting"/>
          <w:b/>
          <w:bCs/>
          <w:sz w:val="96"/>
          <w:szCs w:val="96"/>
          <w:rtl/>
        </w:rPr>
      </w:pPr>
      <w:r w:rsidRPr="00700774">
        <w:rPr>
          <w:rFonts w:ascii="Arabic Typesetting" w:hAnsi="Arabic Typesetting" w:cs="Arabic Typesetting"/>
          <w:b/>
          <w:bCs/>
          <w:sz w:val="96"/>
          <w:szCs w:val="96"/>
          <w:rtl/>
        </w:rPr>
        <w:t xml:space="preserve"> </w:t>
      </w:r>
      <w:proofErr w:type="spellStart"/>
      <w:r w:rsidRPr="00700774">
        <w:rPr>
          <w:rFonts w:ascii="Arabic Typesetting" w:hAnsi="Arabic Typesetting" w:cs="Arabic Typesetting"/>
          <w:b/>
          <w:bCs/>
          <w:sz w:val="96"/>
          <w:szCs w:val="96"/>
          <w:rtl/>
        </w:rPr>
        <w:t>بعنوان:الأسرة</w:t>
      </w:r>
      <w:proofErr w:type="spellEnd"/>
      <w:r w:rsidRPr="00700774">
        <w:rPr>
          <w:rFonts w:ascii="Arabic Typesetting" w:hAnsi="Arabic Typesetting" w:cs="Arabic Typesetting"/>
          <w:b/>
          <w:bCs/>
          <w:sz w:val="96"/>
          <w:szCs w:val="96"/>
          <w:rtl/>
        </w:rPr>
        <w:t xml:space="preserve"> وحفظ الإنسان:</w:t>
      </w:r>
      <w:r>
        <w:rPr>
          <w:rFonts w:ascii="Arabic Typesetting" w:hAnsi="Arabic Typesetting" w:cs="Arabic Typesetting" w:hint="cs"/>
          <w:b/>
          <w:bCs/>
          <w:sz w:val="96"/>
          <w:szCs w:val="96"/>
          <w:rtl/>
        </w:rPr>
        <w:t xml:space="preserve"> </w:t>
      </w:r>
      <w:r w:rsidRPr="005E5842">
        <w:rPr>
          <w:rFonts w:ascii="Arabic Typesetting" w:hAnsi="Arabic Typesetting" w:cs="Arabic Typesetting" w:hint="eastAsia"/>
          <w:b/>
          <w:bCs/>
          <w:sz w:val="96"/>
          <w:szCs w:val="96"/>
          <w:rtl/>
        </w:rPr>
        <w:t>النهي</w:t>
      </w:r>
      <w:r w:rsidRPr="005E5842">
        <w:rPr>
          <w:rFonts w:ascii="Arabic Typesetting" w:hAnsi="Arabic Typesetting" w:cs="Arabic Typesetting"/>
          <w:b/>
          <w:bCs/>
          <w:sz w:val="96"/>
          <w:szCs w:val="96"/>
          <w:rtl/>
        </w:rPr>
        <w:t xml:space="preserve"> عن العلاقات الشاذة:</w:t>
      </w:r>
    </w:p>
    <w:p w:rsidR="002C6553" w:rsidRPr="005E5842" w:rsidRDefault="002C6553" w:rsidP="002C6553">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معلوم</w:t>
      </w:r>
      <w:r w:rsidRPr="005E5842">
        <w:rPr>
          <w:rFonts w:ascii="Arabic Typesetting" w:hAnsi="Arabic Typesetting" w:cs="Arabic Typesetting"/>
          <w:b/>
          <w:bCs/>
          <w:sz w:val="96"/>
          <w:szCs w:val="96"/>
          <w:rtl/>
        </w:rPr>
        <w:t xml:space="preserve"> في الشريعة الخاتمة تحريم اللواط </w:t>
      </w:r>
      <w:proofErr w:type="spellStart"/>
      <w:r w:rsidRPr="005E5842">
        <w:rPr>
          <w:rFonts w:ascii="Arabic Typesetting" w:hAnsi="Arabic Typesetting" w:cs="Arabic Typesetting"/>
          <w:b/>
          <w:bCs/>
          <w:sz w:val="96"/>
          <w:szCs w:val="96"/>
          <w:rtl/>
        </w:rPr>
        <w:t>والسحاق</w:t>
      </w:r>
      <w:proofErr w:type="spellEnd"/>
      <w:r w:rsidRPr="005E5842">
        <w:rPr>
          <w:rFonts w:ascii="Arabic Typesetting" w:hAnsi="Arabic Typesetting" w:cs="Arabic Typesetting"/>
          <w:b/>
          <w:bCs/>
          <w:sz w:val="96"/>
          <w:szCs w:val="96"/>
          <w:rtl/>
        </w:rPr>
        <w:t xml:space="preserve">، وذلك لمقاصد كثيرة وحكم عديدة منها عدم تحقيق التكاثر عن طريق الإنجاب، فنجد القرآن شدد النكير على </w:t>
      </w:r>
      <w:r w:rsidRPr="005E5842">
        <w:rPr>
          <w:rFonts w:ascii="Arabic Typesetting" w:hAnsi="Arabic Typesetting" w:cs="Arabic Typesetting"/>
          <w:b/>
          <w:bCs/>
          <w:sz w:val="96"/>
          <w:szCs w:val="96"/>
          <w:rtl/>
        </w:rPr>
        <w:lastRenderedPageBreak/>
        <w:t>قوم لوط لأنهم خالفوا مقتضيات الفطر السليمة، قال جلّ جلاله: ﴿وَلُوطًا إِذْ قَالَ لِقَوْمِهِ أَتَأْتُونَ الْفَاحِشَ</w:t>
      </w:r>
      <w:r w:rsidRPr="005E5842">
        <w:rPr>
          <w:rFonts w:ascii="Arabic Typesetting" w:hAnsi="Arabic Typesetting" w:cs="Arabic Typesetting" w:hint="eastAsia"/>
          <w:b/>
          <w:bCs/>
          <w:sz w:val="96"/>
          <w:szCs w:val="96"/>
          <w:rtl/>
        </w:rPr>
        <w:t>ةَ</w:t>
      </w:r>
      <w:r w:rsidRPr="005E5842">
        <w:rPr>
          <w:rFonts w:ascii="Arabic Typesetting" w:hAnsi="Arabic Typesetting" w:cs="Arabic Typesetting"/>
          <w:b/>
          <w:bCs/>
          <w:sz w:val="96"/>
          <w:szCs w:val="96"/>
          <w:rtl/>
        </w:rPr>
        <w:t xml:space="preserve"> مَا سَبَقَكُمْ بِهَا مِنْ أَحَدٍ مِنَ الْعَالَمِينَ (80) إِنَّكُمْ لَتَأْتُونَ الرِّجَالَ شَهْوَةً مِنْ دُونِ النِّسَاءِ بَلْ أَنْتُمْ قَوْمٌ مُسْرِفُونَ (81) ﴾[الأعراف: 80، 81] ، وقال سبحانه: ﴿وَلُوطًا إِذْ قَالَ لِقَوْمِهِ إِنَّكُمْ لَتَأْتُونَ الْفَا</w:t>
      </w:r>
      <w:r w:rsidRPr="005E5842">
        <w:rPr>
          <w:rFonts w:ascii="Arabic Typesetting" w:hAnsi="Arabic Typesetting" w:cs="Arabic Typesetting" w:hint="eastAsia"/>
          <w:b/>
          <w:bCs/>
          <w:sz w:val="96"/>
          <w:szCs w:val="96"/>
          <w:rtl/>
        </w:rPr>
        <w:t>حِشَةَ</w:t>
      </w:r>
      <w:r w:rsidRPr="005E5842">
        <w:rPr>
          <w:rFonts w:ascii="Arabic Typesetting" w:hAnsi="Arabic Typesetting" w:cs="Arabic Typesetting"/>
          <w:b/>
          <w:bCs/>
          <w:sz w:val="96"/>
          <w:szCs w:val="96"/>
          <w:rtl/>
        </w:rPr>
        <w:t xml:space="preserve"> مَا سَبَقَكُمْ بِهَا مِنْ أَحَدٍ مِنَ الْعَالَمِينَ (28) أَئِنَّكُمْ لَتَأْتُونَ الرِّجَالَ وَتَقْطَعُونَ السَّبِيلَ وَتَأْتُونَ فِي نَادِيكُمُ الْمُنْكَرَ﴾[العنكبوت: 28، 29]، يعني: </w:t>
      </w:r>
      <w:r w:rsidRPr="005E5842">
        <w:rPr>
          <w:rFonts w:ascii="Arabic Typesetting" w:hAnsi="Arabic Typesetting" w:cs="Arabic Typesetting"/>
          <w:b/>
          <w:bCs/>
          <w:sz w:val="96"/>
          <w:szCs w:val="96"/>
          <w:rtl/>
        </w:rPr>
        <w:lastRenderedPageBreak/>
        <w:t>«تقضون الشهوة بالرجال مع قطع السبيل المعتاد من النساء المشتمل على ا</w:t>
      </w:r>
      <w:r w:rsidRPr="005E5842">
        <w:rPr>
          <w:rFonts w:ascii="Arabic Typesetting" w:hAnsi="Arabic Typesetting" w:cs="Arabic Typesetting" w:hint="eastAsia"/>
          <w:b/>
          <w:bCs/>
          <w:sz w:val="96"/>
          <w:szCs w:val="96"/>
          <w:rtl/>
        </w:rPr>
        <w:t>لمصلحة</w:t>
      </w:r>
      <w:r w:rsidRPr="005E5842">
        <w:rPr>
          <w:rFonts w:ascii="Arabic Typesetting" w:hAnsi="Arabic Typesetting" w:cs="Arabic Typesetting"/>
          <w:b/>
          <w:bCs/>
          <w:sz w:val="96"/>
          <w:szCs w:val="96"/>
          <w:rtl/>
        </w:rPr>
        <w:t xml:space="preserve"> التي هي بقاء النوع»[  التفسير الكبير، 25/59</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«فالاكتفاء بالذكور في قضاء الشهوات يقطع النسل»[ الغزالي، إحياء علوم الدين، 4/20.</w:t>
      </w:r>
      <w:r w:rsidRPr="005E5842">
        <w:rPr>
          <w:rFonts w:ascii="Arabic Typesetting" w:hAnsi="Arabic Typesetting" w:cs="Arabic Typesetting" w:hint="cs"/>
          <w:b/>
          <w:bCs/>
          <w:sz w:val="96"/>
          <w:szCs w:val="96"/>
          <w:rtl/>
        </w:rPr>
        <w:t>]</w:t>
      </w:r>
    </w:p>
    <w:p w:rsidR="002C6553" w:rsidRDefault="002C6553" w:rsidP="002C6553">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ونجد</w:t>
      </w:r>
      <w:r w:rsidRPr="005E5842">
        <w:rPr>
          <w:rFonts w:ascii="Arabic Typesetting" w:hAnsi="Arabic Typesetting" w:cs="Arabic Typesetting"/>
          <w:b/>
          <w:bCs/>
          <w:sz w:val="96"/>
          <w:szCs w:val="96"/>
          <w:rtl/>
        </w:rPr>
        <w:t xml:space="preserve"> في القرآن إنكار هذا السلوك/الفاحشة في أكثر من موضع، لأنه </w:t>
      </w:r>
    </w:p>
    <w:p w:rsidR="002C6553" w:rsidRDefault="002C6553" w:rsidP="002C655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خروج عن سنن الله في خلقه، ومخالفة للشارع في قصده، فهو تلبية </w:t>
      </w:r>
    </w:p>
    <w:p w:rsidR="002C6553" w:rsidRPr="005E5842" w:rsidRDefault="002C6553" w:rsidP="002C655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لداعي الشهوة في غير محلها.</w:t>
      </w:r>
    </w:p>
    <w:p w:rsidR="002C6553" w:rsidRPr="005E5842" w:rsidRDefault="002C6553" w:rsidP="002C6553">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كما</w:t>
      </w:r>
      <w:r w:rsidRPr="005E5842">
        <w:rPr>
          <w:rFonts w:ascii="Arabic Typesetting" w:hAnsi="Arabic Typesetting" w:cs="Arabic Typesetting"/>
          <w:b/>
          <w:bCs/>
          <w:sz w:val="96"/>
          <w:szCs w:val="96"/>
          <w:rtl/>
        </w:rPr>
        <w:t xml:space="preserve"> أن هذا السلوك يضرب بأسس العمران الإنساني القائم على الاختلاف لأن «ثراء الاجتماع البشري وغنى الحياة ناتج عن التنوع والاختلاف والتمايز وليس العكس، إن الاختلاف </w:t>
      </w:r>
      <w:proofErr w:type="spellStart"/>
      <w:r w:rsidRPr="005E5842">
        <w:rPr>
          <w:rFonts w:ascii="Arabic Typesetting" w:hAnsi="Arabic Typesetting" w:cs="Arabic Typesetting"/>
          <w:b/>
          <w:bCs/>
          <w:sz w:val="96"/>
          <w:szCs w:val="96"/>
          <w:rtl/>
        </w:rPr>
        <w:t>التنوعي</w:t>
      </w:r>
      <w:proofErr w:type="spellEnd"/>
      <w:r w:rsidRPr="005E5842">
        <w:rPr>
          <w:rFonts w:ascii="Arabic Typesetting" w:hAnsi="Arabic Typesetting" w:cs="Arabic Typesetting"/>
          <w:b/>
          <w:bCs/>
          <w:sz w:val="96"/>
          <w:szCs w:val="96"/>
          <w:rtl/>
        </w:rPr>
        <w:t xml:space="preserve"> والتمايز ينتظم في علاقة التجاذب والتكامل والتزاوج، في حين أن التطابق والتماثل والتشابه </w:t>
      </w:r>
      <w:r w:rsidRPr="005E5842">
        <w:rPr>
          <w:rFonts w:ascii="Arabic Typesetting" w:hAnsi="Arabic Typesetting" w:cs="Arabic Typesetting" w:hint="eastAsia"/>
          <w:b/>
          <w:bCs/>
          <w:sz w:val="96"/>
          <w:szCs w:val="96"/>
          <w:rtl/>
        </w:rPr>
        <w:t>ينتج</w:t>
      </w:r>
      <w:r w:rsidRPr="005E5842">
        <w:rPr>
          <w:rFonts w:ascii="Arabic Typesetting" w:hAnsi="Arabic Typesetting" w:cs="Arabic Typesetting"/>
          <w:b/>
          <w:bCs/>
          <w:sz w:val="96"/>
          <w:szCs w:val="96"/>
          <w:rtl/>
        </w:rPr>
        <w:t xml:space="preserve"> عنه التنافر والتباعد والتصارع»[ مصطفى المرابط، صناعة </w:t>
      </w:r>
      <w:r w:rsidRPr="005E5842">
        <w:rPr>
          <w:rFonts w:ascii="Arabic Typesetting" w:hAnsi="Arabic Typesetting" w:cs="Arabic Typesetting"/>
          <w:b/>
          <w:bCs/>
          <w:sz w:val="96"/>
          <w:szCs w:val="96"/>
          <w:rtl/>
        </w:rPr>
        <w:lastRenderedPageBreak/>
        <w:t>الأنوثة في الحداثة الغربية، مجلة موازين، ص24.</w:t>
      </w:r>
      <w:r w:rsidRPr="005E5842">
        <w:rPr>
          <w:rFonts w:ascii="Arabic Typesetting" w:hAnsi="Arabic Typesetting" w:cs="Arabic Typesetting" w:hint="cs"/>
          <w:b/>
          <w:bCs/>
          <w:sz w:val="96"/>
          <w:szCs w:val="96"/>
          <w:rtl/>
        </w:rPr>
        <w:t>]</w:t>
      </w:r>
    </w:p>
    <w:p w:rsidR="002C6553" w:rsidRPr="005E5842" w:rsidRDefault="002C6553" w:rsidP="002C6553">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تحريم</w:t>
      </w:r>
      <w:r w:rsidRPr="005E5842">
        <w:rPr>
          <w:rFonts w:ascii="Arabic Typesetting" w:hAnsi="Arabic Typesetting" w:cs="Arabic Typesetting"/>
          <w:b/>
          <w:bCs/>
          <w:sz w:val="96"/>
          <w:szCs w:val="96"/>
          <w:rtl/>
        </w:rPr>
        <w:t xml:space="preserve"> التبني:</w:t>
      </w:r>
    </w:p>
    <w:p w:rsidR="002C6553" w:rsidRPr="005E5842" w:rsidRDefault="002C6553" w:rsidP="002C6553">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يذكر</w:t>
      </w:r>
      <w:r w:rsidRPr="005E5842">
        <w:rPr>
          <w:rFonts w:ascii="Arabic Typesetting" w:hAnsi="Arabic Typesetting" w:cs="Arabic Typesetting"/>
          <w:b/>
          <w:bCs/>
          <w:sz w:val="96"/>
          <w:szCs w:val="96"/>
          <w:rtl/>
        </w:rPr>
        <w:t xml:space="preserve"> دومًا منع التبني بالنظر إلى حفظ النسب، ولا يذكر بالنظر إلى حفظ الإنسان من حيث تكاثرُه، لكن في السياق المعاصر نرى أن هذا الحكم يرتبط بشكل كبير بحفظ النسل، إذ تشير الإحصائيات في فرنسا إلى أن هنالك حوالي ثلاثمائة ألف طفل متبنى في «أسرة </w:t>
      </w:r>
      <w:r w:rsidRPr="005E5842">
        <w:rPr>
          <w:rFonts w:ascii="Arabic Typesetting" w:hAnsi="Arabic Typesetting" w:cs="Arabic Typesetting"/>
          <w:b/>
          <w:bCs/>
          <w:sz w:val="96"/>
          <w:szCs w:val="96"/>
          <w:rtl/>
        </w:rPr>
        <w:lastRenderedPageBreak/>
        <w:t>وحيدة الجنس»</w:t>
      </w:r>
      <w:r w:rsidRPr="002C4E44">
        <w:rPr>
          <w:rFonts w:ascii="Arabic Typesetting" w:hAnsi="Arabic Typesetting" w:cs="Arabic Typesetting"/>
          <w:b/>
          <w:bCs/>
          <w:sz w:val="78"/>
          <w:szCs w:val="78"/>
          <w:rtl/>
        </w:rPr>
        <w:t xml:space="preserve">[سمير </w:t>
      </w:r>
      <w:proofErr w:type="spellStart"/>
      <w:r w:rsidRPr="002C4E44">
        <w:rPr>
          <w:rFonts w:ascii="Arabic Typesetting" w:hAnsi="Arabic Typesetting" w:cs="Arabic Typesetting"/>
          <w:b/>
          <w:bCs/>
          <w:sz w:val="78"/>
          <w:szCs w:val="78"/>
          <w:rtl/>
        </w:rPr>
        <w:t>بودينار</w:t>
      </w:r>
      <w:proofErr w:type="spellEnd"/>
      <w:r w:rsidRPr="002C4E44">
        <w:rPr>
          <w:rFonts w:ascii="Arabic Typesetting" w:hAnsi="Arabic Typesetting" w:cs="Arabic Typesetting"/>
          <w:b/>
          <w:bCs/>
          <w:sz w:val="78"/>
          <w:szCs w:val="78"/>
          <w:rtl/>
        </w:rPr>
        <w:t>، منظومة قيم الأسرة: من القرآن إلى العمران، ص117.</w:t>
      </w:r>
      <w:r w:rsidRPr="002C4E44">
        <w:rPr>
          <w:rFonts w:ascii="Arabic Typesetting" w:hAnsi="Arabic Typesetting" w:cs="Arabic Typesetting" w:hint="cs"/>
          <w:b/>
          <w:bCs/>
          <w:sz w:val="78"/>
          <w:szCs w:val="78"/>
          <w:rtl/>
        </w:rPr>
        <w:t>]</w:t>
      </w:r>
    </w:p>
    <w:p w:rsidR="002C6553" w:rsidRDefault="002C6553" w:rsidP="002C655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فصار الحديث اليوم عن حفظ النوع؛ أي ضمان الوجود البيولوجي </w:t>
      </w:r>
    </w:p>
    <w:p w:rsidR="002C6553" w:rsidRPr="005E5842" w:rsidRDefault="002C6553" w:rsidP="002C655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للإنسان ضرورة بشرية في عالم تطبّع مع المِثلية ونَظّر لما بعد الإنسانية، أو «نهاية الإنسان».</w:t>
      </w:r>
    </w:p>
    <w:p w:rsidR="002C6553" w:rsidRPr="005E5842" w:rsidRDefault="002C6553" w:rsidP="002C6553">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وقد</w:t>
      </w:r>
      <w:r w:rsidRPr="005E5842">
        <w:rPr>
          <w:rFonts w:ascii="Arabic Typesetting" w:hAnsi="Arabic Typesetting" w:cs="Arabic Typesetting"/>
          <w:b/>
          <w:bCs/>
          <w:sz w:val="96"/>
          <w:szCs w:val="96"/>
          <w:rtl/>
        </w:rPr>
        <w:t xml:space="preserve"> كان التبني فعلا مشروعا في الجاهلية، وبقي الأمر مسكوتا عنه في بداية الإسلام، حتى إن النبي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xml:space="preserve"> كان متبنيا </w:t>
      </w:r>
      <w:r w:rsidRPr="005E5842">
        <w:rPr>
          <w:rFonts w:ascii="Arabic Typesetting" w:hAnsi="Arabic Typesetting" w:cs="Arabic Typesetting"/>
          <w:b/>
          <w:bCs/>
          <w:sz w:val="96"/>
          <w:szCs w:val="96"/>
          <w:rtl/>
        </w:rPr>
        <w:lastRenderedPageBreak/>
        <w:t xml:space="preserve">لزيد بن حارثة </w:t>
      </w:r>
      <w:r w:rsidRPr="005E5842">
        <w:rPr>
          <w:rFonts w:ascii="Arabic Typesetting" w:hAnsi="Arabic Typesetting" w:cs="Arabic Typesetting" w:hint="cs"/>
          <w:b/>
          <w:bCs/>
          <w:sz w:val="96"/>
          <w:szCs w:val="96"/>
          <w:rtl/>
        </w:rPr>
        <w:t>ﭬ</w:t>
      </w:r>
      <w:r w:rsidRPr="005E5842">
        <w:rPr>
          <w:rFonts w:ascii="Arabic Typesetting" w:hAnsi="Arabic Typesetting" w:cs="Arabic Typesetting" w:hint="eastAsia"/>
          <w:b/>
          <w:bCs/>
          <w:sz w:val="96"/>
          <w:szCs w:val="96"/>
          <w:rtl/>
        </w:rPr>
        <w:t>،</w:t>
      </w:r>
      <w:r w:rsidRPr="005E5842">
        <w:rPr>
          <w:rFonts w:ascii="Arabic Typesetting" w:hAnsi="Arabic Typesetting" w:cs="Arabic Typesetting"/>
          <w:b/>
          <w:bCs/>
          <w:sz w:val="96"/>
          <w:szCs w:val="96"/>
          <w:rtl/>
        </w:rPr>
        <w:t xml:space="preserve"> فنزلت آيات تحريم التبني: ﴿وَمَا جَعَلَ أَدْعِيَاءَكُمْ أَبْنَاءَكُمْ ذَلِكُمْ قَوْلُكُمْ بِأَفْوَاهِكُمْ وَاللَّهُ يَقُولُ الْحَقَّ و</w:t>
      </w:r>
      <w:r w:rsidRPr="005E5842">
        <w:rPr>
          <w:rFonts w:ascii="Arabic Typesetting" w:hAnsi="Arabic Typesetting" w:cs="Arabic Typesetting" w:hint="eastAsia"/>
          <w:b/>
          <w:bCs/>
          <w:sz w:val="96"/>
          <w:szCs w:val="96"/>
          <w:rtl/>
        </w:rPr>
        <w:t>َهُوَ</w:t>
      </w:r>
      <w:r w:rsidRPr="005E5842">
        <w:rPr>
          <w:rFonts w:ascii="Arabic Typesetting" w:hAnsi="Arabic Typesetting" w:cs="Arabic Typesetting"/>
          <w:b/>
          <w:bCs/>
          <w:sz w:val="96"/>
          <w:szCs w:val="96"/>
          <w:rtl/>
        </w:rPr>
        <w:t xml:space="preserve"> يَهْدِي السَّبِيلَ (4) ادْعُوهُمْ لِآبَائِهِمْ هُوَ أَقْسَطُ عِنْدَ اللَّهِ فَإِنْ لَمْ تَعْلَمُوا آبَاءَهُمْ فَإِخْوَانُكُمْ فِي الدِّينِ وَمَوَالِيكُمْ﴾[الأحزاب: 4، 5]. ومن ثم، صار التبني فعلا محرما تحريما قاطعا، وألزم الإسلام الانتساب إلى الآباء ا</w:t>
      </w:r>
      <w:r w:rsidRPr="005E5842">
        <w:rPr>
          <w:rFonts w:ascii="Arabic Typesetting" w:hAnsi="Arabic Typesetting" w:cs="Arabic Typesetting" w:hint="eastAsia"/>
          <w:b/>
          <w:bCs/>
          <w:sz w:val="96"/>
          <w:szCs w:val="96"/>
          <w:rtl/>
        </w:rPr>
        <w:t>لأصليين</w:t>
      </w:r>
      <w:r w:rsidRPr="005E5842">
        <w:rPr>
          <w:rFonts w:ascii="Arabic Typesetting" w:hAnsi="Arabic Typesetting" w:cs="Arabic Typesetting"/>
          <w:b/>
          <w:bCs/>
          <w:sz w:val="96"/>
          <w:szCs w:val="96"/>
          <w:rtl/>
        </w:rPr>
        <w:t xml:space="preserve"> في تعبير واضح لا لبس فيه.</w:t>
      </w:r>
    </w:p>
    <w:p w:rsidR="002C6553" w:rsidRPr="005E5842" w:rsidRDefault="002C6553" w:rsidP="002C6553">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lastRenderedPageBreak/>
        <w:t>ويعزز</w:t>
      </w:r>
      <w:r w:rsidRPr="005E5842">
        <w:rPr>
          <w:rFonts w:ascii="Arabic Typesetting" w:hAnsi="Arabic Typesetting" w:cs="Arabic Typesetting"/>
          <w:b/>
          <w:bCs/>
          <w:sz w:val="96"/>
          <w:szCs w:val="96"/>
          <w:rtl/>
        </w:rPr>
        <w:t xml:space="preserve"> هذا التحريم ما روي عن أبي ذر </w:t>
      </w:r>
      <w:r w:rsidRPr="005E5842">
        <w:rPr>
          <w:rFonts w:ascii="Arabic Typesetting" w:hAnsi="Arabic Typesetting" w:cs="Arabic Typesetting" w:hint="cs"/>
          <w:b/>
          <w:bCs/>
          <w:sz w:val="96"/>
          <w:szCs w:val="96"/>
          <w:rtl/>
        </w:rPr>
        <w:t>ﭬ</w:t>
      </w:r>
      <w:r w:rsidRPr="005E5842">
        <w:rPr>
          <w:rFonts w:ascii="Arabic Typesetting" w:hAnsi="Arabic Typesetting" w:cs="Arabic Typesetting"/>
          <w:b/>
          <w:bCs/>
          <w:sz w:val="96"/>
          <w:szCs w:val="96"/>
          <w:rtl/>
        </w:rPr>
        <w:t xml:space="preserve"> أنه سمع النبي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xml:space="preserve"> يقول: «ليس من رجل ادعي لغير أبيه وهو يعلمه إلا كفر بالله[المقصود بالكفر في هذا السياق كما جاء في شروح الحديث كفر النعمة لا كفر الملة.  ينظر: فتح الباري، 6/540.</w:t>
      </w:r>
      <w:r w:rsidRPr="005E5842">
        <w:rPr>
          <w:rFonts w:ascii="Arabic Typesetting" w:hAnsi="Arabic Typesetting" w:cs="Arabic Typesetting" w:hint="cs"/>
          <w:b/>
          <w:bCs/>
          <w:sz w:val="96"/>
          <w:szCs w:val="96"/>
          <w:rtl/>
        </w:rPr>
        <w:t>]</w:t>
      </w:r>
    </w:p>
    <w:p w:rsidR="002C6553" w:rsidRPr="002C4E44" w:rsidRDefault="002C6553" w:rsidP="002C6553">
      <w:pPr>
        <w:rPr>
          <w:rFonts w:ascii="Arabic Typesetting" w:hAnsi="Arabic Typesetting" w:cs="Arabic Typesetting"/>
          <w:b/>
          <w:bCs/>
          <w:sz w:val="70"/>
          <w:szCs w:val="70"/>
          <w:rtl/>
        </w:rPr>
      </w:pPr>
      <w:r w:rsidRPr="005E5842">
        <w:rPr>
          <w:rFonts w:ascii="Arabic Typesetting" w:hAnsi="Arabic Typesetting" w:cs="Arabic Typesetting"/>
          <w:b/>
          <w:bCs/>
          <w:sz w:val="96"/>
          <w:szCs w:val="96"/>
          <w:rtl/>
        </w:rPr>
        <w:t>، ومن ادعى قوما ليس له فيهم نسب فليتبوأ مقعده من النار</w:t>
      </w:r>
      <w:r w:rsidRPr="002C4E44">
        <w:rPr>
          <w:rFonts w:ascii="Arabic Typesetting" w:hAnsi="Arabic Typesetting" w:cs="Arabic Typesetting"/>
          <w:b/>
          <w:bCs/>
          <w:sz w:val="70"/>
          <w:szCs w:val="70"/>
          <w:rtl/>
        </w:rPr>
        <w:t>»[أخرجه البخاري في الجامع الصحيح، كتاب المناقب، باب نسبة اليمن إلى إسماعيل، 3508. صحيح مسلم، كتاب الإيمان، باب بيان حال إيمان من رغب عن أبيه وهو يعلم، 112/61.</w:t>
      </w:r>
      <w:r w:rsidRPr="002C4E44">
        <w:rPr>
          <w:rFonts w:ascii="Arabic Typesetting" w:hAnsi="Arabic Typesetting" w:cs="Arabic Typesetting" w:hint="cs"/>
          <w:b/>
          <w:bCs/>
          <w:sz w:val="70"/>
          <w:szCs w:val="70"/>
          <w:rtl/>
        </w:rPr>
        <w:t>]</w:t>
      </w:r>
    </w:p>
    <w:p w:rsidR="002C6553" w:rsidRPr="002C4E44" w:rsidRDefault="002C6553" w:rsidP="002C6553">
      <w:pPr>
        <w:rPr>
          <w:rFonts w:ascii="Arabic Typesetting" w:hAnsi="Arabic Typesetting" w:cs="Arabic Typesetting"/>
          <w:b/>
          <w:bCs/>
          <w:sz w:val="96"/>
          <w:szCs w:val="96"/>
          <w:rtl/>
        </w:rPr>
      </w:pPr>
      <w:r w:rsidRPr="002C4E44">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C53" w:rsidRDefault="00332C53" w:rsidP="002C6553">
      <w:pPr>
        <w:spacing w:after="0" w:line="240" w:lineRule="auto"/>
      </w:pPr>
      <w:r>
        <w:separator/>
      </w:r>
    </w:p>
  </w:endnote>
  <w:endnote w:type="continuationSeparator" w:id="0">
    <w:p w:rsidR="00332C53" w:rsidRDefault="00332C53" w:rsidP="002C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58976714"/>
      <w:docPartObj>
        <w:docPartGallery w:val="Page Numbers (Bottom of Page)"/>
        <w:docPartUnique/>
      </w:docPartObj>
    </w:sdtPr>
    <w:sdtContent>
      <w:p w:rsidR="002C6553" w:rsidRDefault="002C6553">
        <w:pPr>
          <w:pStyle w:val="a4"/>
          <w:jc w:val="center"/>
        </w:pPr>
        <w:r>
          <w:fldChar w:fldCharType="begin"/>
        </w:r>
        <w:r>
          <w:instrText>PAGE   \* MERGEFORMAT</w:instrText>
        </w:r>
        <w:r>
          <w:fldChar w:fldCharType="separate"/>
        </w:r>
        <w:r w:rsidRPr="002C6553">
          <w:rPr>
            <w:noProof/>
            <w:rtl/>
            <w:lang w:val="ar-SA"/>
          </w:rPr>
          <w:t>9</w:t>
        </w:r>
        <w:r>
          <w:fldChar w:fldCharType="end"/>
        </w:r>
      </w:p>
    </w:sdtContent>
  </w:sdt>
  <w:p w:rsidR="002C6553" w:rsidRDefault="002C65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C53" w:rsidRDefault="00332C53" w:rsidP="002C6553">
      <w:pPr>
        <w:spacing w:after="0" w:line="240" w:lineRule="auto"/>
      </w:pPr>
      <w:r>
        <w:separator/>
      </w:r>
    </w:p>
  </w:footnote>
  <w:footnote w:type="continuationSeparator" w:id="0">
    <w:p w:rsidR="00332C53" w:rsidRDefault="00332C53" w:rsidP="002C65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53"/>
    <w:rsid w:val="00037335"/>
    <w:rsid w:val="002C6553"/>
    <w:rsid w:val="00332C5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55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553"/>
    <w:pPr>
      <w:tabs>
        <w:tab w:val="center" w:pos="4153"/>
        <w:tab w:val="right" w:pos="8306"/>
      </w:tabs>
      <w:spacing w:after="0" w:line="240" w:lineRule="auto"/>
    </w:pPr>
  </w:style>
  <w:style w:type="character" w:customStyle="1" w:styleId="Char">
    <w:name w:val="رأس الصفحة Char"/>
    <w:basedOn w:val="a0"/>
    <w:link w:val="a3"/>
    <w:uiPriority w:val="99"/>
    <w:rsid w:val="002C6553"/>
    <w:rPr>
      <w:rFonts w:cs="Arial"/>
    </w:rPr>
  </w:style>
  <w:style w:type="paragraph" w:styleId="a4">
    <w:name w:val="footer"/>
    <w:basedOn w:val="a"/>
    <w:link w:val="Char0"/>
    <w:uiPriority w:val="99"/>
    <w:unhideWhenUsed/>
    <w:rsid w:val="002C6553"/>
    <w:pPr>
      <w:tabs>
        <w:tab w:val="center" w:pos="4153"/>
        <w:tab w:val="right" w:pos="8306"/>
      </w:tabs>
      <w:spacing w:after="0" w:line="240" w:lineRule="auto"/>
    </w:pPr>
  </w:style>
  <w:style w:type="character" w:customStyle="1" w:styleId="Char0">
    <w:name w:val="تذييل الصفحة Char"/>
    <w:basedOn w:val="a0"/>
    <w:link w:val="a4"/>
    <w:uiPriority w:val="99"/>
    <w:rsid w:val="002C655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55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553"/>
    <w:pPr>
      <w:tabs>
        <w:tab w:val="center" w:pos="4153"/>
        <w:tab w:val="right" w:pos="8306"/>
      </w:tabs>
      <w:spacing w:after="0" w:line="240" w:lineRule="auto"/>
    </w:pPr>
  </w:style>
  <w:style w:type="character" w:customStyle="1" w:styleId="Char">
    <w:name w:val="رأس الصفحة Char"/>
    <w:basedOn w:val="a0"/>
    <w:link w:val="a3"/>
    <w:uiPriority w:val="99"/>
    <w:rsid w:val="002C6553"/>
    <w:rPr>
      <w:rFonts w:cs="Arial"/>
    </w:rPr>
  </w:style>
  <w:style w:type="paragraph" w:styleId="a4">
    <w:name w:val="footer"/>
    <w:basedOn w:val="a"/>
    <w:link w:val="Char0"/>
    <w:uiPriority w:val="99"/>
    <w:unhideWhenUsed/>
    <w:rsid w:val="002C6553"/>
    <w:pPr>
      <w:tabs>
        <w:tab w:val="center" w:pos="4153"/>
        <w:tab w:val="right" w:pos="8306"/>
      </w:tabs>
      <w:spacing w:after="0" w:line="240" w:lineRule="auto"/>
    </w:pPr>
  </w:style>
  <w:style w:type="character" w:customStyle="1" w:styleId="Char0">
    <w:name w:val="تذييل الصفحة Char"/>
    <w:basedOn w:val="a0"/>
    <w:link w:val="a4"/>
    <w:uiPriority w:val="99"/>
    <w:rsid w:val="002C655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466</Words>
  <Characters>2657</Characters>
  <Application>Microsoft Office Word</Application>
  <DocSecurity>0</DocSecurity>
  <Lines>22</Lines>
  <Paragraphs>6</Paragraphs>
  <ScaleCrop>false</ScaleCrop>
  <Company>Ahmed-Under</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2021-03-21T10:25:00Z</dcterms:created>
  <dcterms:modified xsi:type="dcterms:W3CDTF">2021-03-21T10:26:00Z</dcterms:modified>
</cp:coreProperties>
</file>