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FE" w:rsidRPr="00B009D3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5125FE" w:rsidRPr="00B009D3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</w:t>
      </w:r>
    </w:p>
    <w:p w:rsidR="005125FE" w:rsidRPr="00B009D3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بعنوان:الأسرة</w:t>
      </w:r>
      <w:proofErr w:type="spellEnd"/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وحفظ الإنسان: </w:t>
      </w:r>
    </w:p>
    <w:p w:rsidR="005125FE" w:rsidRPr="005E5842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09D3">
        <w:rPr>
          <w:rFonts w:ascii="Arabic Typesetting" w:hAnsi="Arabic Typesetting" w:cs="Arabic Typesetting"/>
          <w:b/>
          <w:bCs/>
          <w:sz w:val="96"/>
          <w:szCs w:val="96"/>
          <w:rtl/>
        </w:rPr>
        <w:t>المبحث الثاني- الحفظ الأخلاقي: مقصد التزكية</w:t>
      </w:r>
    </w:p>
    <w:p w:rsidR="005125FE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ونلحظ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أدعية الأنبياء الواردة في القرآن بخصوص الأبناء، أنها لا تقتصر على طلب «الذرية» وحسب، أي ذرية كيفما كانت،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بل نجدهم يدعون الله سبحانه بأن يهبهم «ذرية صالحة» و«ذرية طيبة»، دون التشديد على عددها أو تعيين جنسها، وإنما أن تكون صالحة وطيبة وحسب؛ فهذا إبر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اهيم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 الصلاة والسلام يدعو ربه: ﴿رَبِّ هَبْ لِي مِنَ الصَّالِحِينَ﴾[الصافات:100]. وللصلاح دلالة قرآنية متميزة، تدل على الفعل والعمل؛ فهو ليس مفهوما سكونيا كما ترسخ عند كثيرين بحيث تكون صورة العبد الصالح في الأذهان لذلكم الرجل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الزاهد المتفرغ للشعائر الذي لا يؤذي أحدا ولا يحرك ساكنا، وهي صورة تظل في أحسن أحوالها مثالية وأقل فاعلية، فضلا عن مخالفتها للمطلوب القرآني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الإنسان﴿وَقُلِ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اعْمَلُوا فَسَيَرَى اللَّهُ عَمَلَكُمْ وَرَسُولُهُ وَالْمُؤْمِنُونَ﴾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5125FE" w:rsidRPr="005E5842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[التوبة:105].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لذلك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فنحن إذا تأملنا معنى الصلاح في القرآن سنجده مفهوما حركيا، بحيث إن الإنسان الصالح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يتغيى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تحسين أوضاع المجتمع وجعل العالم مكانا أفضل للعيش..</w:t>
      </w:r>
    </w:p>
    <w:p w:rsidR="005125FE" w:rsidRPr="005E5842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وهذا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زكريا عليه الصلاة والسلام يدعو ربه:﴿رَبِّ هَبْ لِي مِنْ لَدُنْكَ ذُرِّيَّةً طَيِّبَةً إِنَّكَ سَمِيعُ الدُّعَاءِ﴾[ آل عمران:38]، والطيب في اللغة نقيض الخبيث، ويقال الأرض الطيبة التي تصلح للنبات[ابن منظور، لسان العرب، مادة [طيب].</w:t>
      </w:r>
    </w:p>
    <w:p w:rsidR="005125FE" w:rsidRPr="005E5842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ومعاني الإنبات تدل على معنى الإثمار، وقد جاء قريبا من هذا المعنى ﴿فَتَقَبَّلَهَا رَبُّهَا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بِقَبُولٍ حَسَنٍ وَأَنْبَتَهَا نَبَاتًا حَسَنًا﴾[آل عمران: 37] »،فهذه إشارةٌ إلى أنّ الإنسان كالنبات، ولكي ينبث ويثمر يجب الاعتناء به من وقت أن كان بذرة بتعهّده، والاعتناء به في كل مراحل نموه، إلى أن يصبح شجرةً مثمرة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ً،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فكذلك الطفل في عَمليّة التربية، فينبغي التّعامل معه من منطلق الرّعاية والعناية، وذلك بتعهده منذ طفولته ومتابعته في كل مراحل رشده  إلى أن يصير إنسانا طيبا معمرا.</w:t>
      </w:r>
    </w:p>
    <w:p w:rsidR="005125FE" w:rsidRDefault="005125FE" w:rsidP="005125FE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فحين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نتحدث عن ذرية طيبة فإننا نتحدث بالدرجة الأولى عن إنسان فاعل مثمر، إنسان مغير مصلح، يترك أثر إصلاحه وثمرة وجوده على الأرض لتدل عليه، فيكون كالنبات الحسن، أينما حل فهو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يفيد..﴿وَأَمَّا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مَا يَنْفَعُ النَّاسَ فَيَمْكُثُ فِي الْأَرْضِ﴾[الرعد: 17]. ومن النما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ذج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القرآنية للذرية الطيبة إسماعيل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ڠ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باعتباره من خيرة الصالحين، رفع قواعد الإيمان مع أبيه إبراهيم،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ڠ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﴿وَإِذْ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يَرْفَعُ إِبْرَاهِيمُ الْقَوَاعِدَ مِنَ الْبَيْتِ وَإِسْمَاعِيلُ رَبَّنَا تَقَبَّلْ مِنَّا إِنَّكَ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أَنْتَ السَّمِيعُ الْعَلِيمُ﴾[البقرة: 127] فكان صل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اح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إسماعيل، </w:t>
      </w:r>
      <w:r w:rsidRPr="00567A8E">
        <w:rPr>
          <w:rFonts w:ascii="Arabic Typesetting" w:hAnsi="Arabic Typesetting" w:cs="Arabic Typesetting"/>
          <w:b/>
          <w:bCs/>
          <w:sz w:val="92"/>
          <w:szCs w:val="92"/>
          <w:rtl/>
        </w:rPr>
        <w:t>عملا</w:t>
      </w:r>
    </w:p>
    <w:p w:rsidR="005125FE" w:rsidRPr="00567A8E" w:rsidRDefault="005125FE" w:rsidP="005125FE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67A8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عمرانيا </w:t>
      </w:r>
      <w:proofErr w:type="spellStart"/>
      <w:r w:rsidRPr="00567A8E">
        <w:rPr>
          <w:rFonts w:ascii="Arabic Typesetting" w:hAnsi="Arabic Typesetting" w:cs="Arabic Typesetting"/>
          <w:b/>
          <w:bCs/>
          <w:sz w:val="92"/>
          <w:szCs w:val="92"/>
          <w:rtl/>
        </w:rPr>
        <w:t>يتغيى</w:t>
      </w:r>
      <w:proofErr w:type="spellEnd"/>
      <w:r w:rsidRPr="00567A8E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الرفعة، وهي رفعة منطلقة من القاعدة تنظر إلى السماء..</w:t>
      </w:r>
    </w:p>
    <w:p w:rsidR="005125FE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وهذه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الأوصاف «الصلاح» و«الطيبة» لا تتحقق دون جهد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تزكوي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تربوي من الآباء نحو الأبناء ابتداء حتى يكونوا زهرة الحياة الدنيا، وتقر بهم الأعين انتهاء، فيتحقق الامتداد الأبوي المنشود، ولا امتداد زمنيا دون صلاح إنساني يتعدى الإنسان نفسه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مجتمعه، ويتأكد هذا المع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نى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بما جاء في الحديث النبوي: «إذا مات الإنسان انقطع عنه عمله إلا من ثلاثة: إلا من صدقة جارية، أو علم يُنْتفَع به، أو ولد صالح يدعو له»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5125FE" w:rsidRPr="00876FF4" w:rsidRDefault="005125FE" w:rsidP="005125FE">
      <w:pPr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876FF4">
        <w:rPr>
          <w:rFonts w:ascii="Arabic Typesetting" w:hAnsi="Arabic Typesetting" w:cs="Arabic Typesetting"/>
          <w:b/>
          <w:bCs/>
          <w:sz w:val="60"/>
          <w:szCs w:val="60"/>
          <w:rtl/>
        </w:rPr>
        <w:t>[ رواه مسلم في صحيحه عن أبي هريرة، كتاب الوصية، باب ما يلحق الإنسان من الثواب بعد وفاته، 1631.</w:t>
      </w:r>
      <w:r w:rsidRPr="00876FF4">
        <w:rPr>
          <w:rFonts w:ascii="Arabic Typesetting" w:hAnsi="Arabic Typesetting" w:cs="Arabic Typesetting" w:hint="cs"/>
          <w:b/>
          <w:bCs/>
          <w:sz w:val="60"/>
          <w:szCs w:val="60"/>
          <w:rtl/>
        </w:rPr>
        <w:t>]</w:t>
      </w:r>
    </w:p>
    <w:p w:rsidR="005125FE" w:rsidRPr="00FD3DC8" w:rsidRDefault="005125FE" w:rsidP="005125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D3DC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037335" w:rsidRDefault="00037335">
      <w:bookmarkStart w:id="0" w:name="_GoBack"/>
      <w:bookmarkEnd w:id="0"/>
    </w:p>
    <w:sectPr w:rsidR="0003733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F4" w:rsidRDefault="00C54FF4" w:rsidP="005125FE">
      <w:pPr>
        <w:spacing w:after="0" w:line="240" w:lineRule="auto"/>
      </w:pPr>
      <w:r>
        <w:separator/>
      </w:r>
    </w:p>
  </w:endnote>
  <w:endnote w:type="continuationSeparator" w:id="0">
    <w:p w:rsidR="00C54FF4" w:rsidRDefault="00C54FF4" w:rsidP="005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85944736"/>
      <w:docPartObj>
        <w:docPartGallery w:val="Page Numbers (Bottom of Page)"/>
        <w:docPartUnique/>
      </w:docPartObj>
    </w:sdtPr>
    <w:sdtContent>
      <w:p w:rsidR="005125FE" w:rsidRDefault="00512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25F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5125FE" w:rsidRDefault="005125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F4" w:rsidRDefault="00C54FF4" w:rsidP="005125FE">
      <w:pPr>
        <w:spacing w:after="0" w:line="240" w:lineRule="auto"/>
      </w:pPr>
      <w:r>
        <w:separator/>
      </w:r>
    </w:p>
  </w:footnote>
  <w:footnote w:type="continuationSeparator" w:id="0">
    <w:p w:rsidR="00C54FF4" w:rsidRDefault="00C54FF4" w:rsidP="00512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FE"/>
    <w:rsid w:val="00037335"/>
    <w:rsid w:val="005125FE"/>
    <w:rsid w:val="00BB584D"/>
    <w:rsid w:val="00C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5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25F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25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25F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5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25F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125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25F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</Words>
  <Characters>2490</Characters>
  <Application>Microsoft Office Word</Application>
  <DocSecurity>0</DocSecurity>
  <Lines>20</Lines>
  <Paragraphs>5</Paragraphs>
  <ScaleCrop>false</ScaleCrop>
  <Company>Ahmed-Under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2021-03-21T10:27:00Z</dcterms:created>
  <dcterms:modified xsi:type="dcterms:W3CDTF">2021-03-21T10:28:00Z</dcterms:modified>
</cp:coreProperties>
</file>