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5C21" w:rsidRPr="002C4E44" w:rsidRDefault="002C5C21" w:rsidP="002C5C21">
      <w:pPr>
        <w:rPr>
          <w:rFonts w:ascii="Arabic Typesetting" w:hAnsi="Arabic Typesetting" w:cs="Arabic Typesetting"/>
          <w:b/>
          <w:bCs/>
          <w:sz w:val="96"/>
          <w:szCs w:val="96"/>
          <w:rtl/>
        </w:rPr>
      </w:pPr>
      <w:r w:rsidRPr="002C4E44">
        <w:rPr>
          <w:rFonts w:ascii="Arabic Typesetting" w:hAnsi="Arabic Typesetting" w:cs="Arabic Typesetting"/>
          <w:b/>
          <w:bCs/>
          <w:sz w:val="96"/>
          <w:szCs w:val="96"/>
          <w:rtl/>
        </w:rPr>
        <w:t xml:space="preserve">بسم الله ، والحمد لله ،والصلاة والسلام على رسول الله ،وبعد : فهذه </w:t>
      </w:r>
    </w:p>
    <w:p w:rsidR="002C5C21" w:rsidRPr="002C4E44" w:rsidRDefault="002C5C21" w:rsidP="002C5C21">
      <w:pPr>
        <w:rPr>
          <w:rFonts w:ascii="Arabic Typesetting" w:hAnsi="Arabic Typesetting" w:cs="Arabic Typesetting"/>
          <w:b/>
          <w:bCs/>
          <w:sz w:val="96"/>
          <w:szCs w:val="96"/>
          <w:rtl/>
        </w:rPr>
      </w:pPr>
      <w:r w:rsidRPr="002C4E44">
        <w:rPr>
          <w:rFonts w:ascii="Arabic Typesetting" w:hAnsi="Arabic Typesetting" w:cs="Arabic Typesetting"/>
          <w:b/>
          <w:bCs/>
          <w:sz w:val="96"/>
          <w:szCs w:val="96"/>
          <w:rtl/>
        </w:rPr>
        <w:t xml:space="preserve">الحلقة </w:t>
      </w:r>
      <w:r>
        <w:rPr>
          <w:rFonts w:ascii="Arabic Typesetting" w:hAnsi="Arabic Typesetting" w:cs="Arabic Typesetting" w:hint="cs"/>
          <w:b/>
          <w:bCs/>
          <w:sz w:val="96"/>
          <w:szCs w:val="96"/>
          <w:rtl/>
        </w:rPr>
        <w:t>التاسعة</w:t>
      </w:r>
      <w:r w:rsidRPr="002C4E44">
        <w:rPr>
          <w:rFonts w:ascii="Arabic Typesetting" w:hAnsi="Arabic Typesetting" w:cs="Arabic Typesetting"/>
          <w:b/>
          <w:bCs/>
          <w:sz w:val="96"/>
          <w:szCs w:val="96"/>
          <w:rtl/>
        </w:rPr>
        <w:t xml:space="preserve"> والسبعون بعد الثلاثمائة في موضوع (الحفيظ) والتي هي</w:t>
      </w:r>
    </w:p>
    <w:p w:rsidR="002C5C21" w:rsidRDefault="002C5C21" w:rsidP="002C5C21">
      <w:pPr>
        <w:rPr>
          <w:rFonts w:ascii="Arabic Typesetting" w:hAnsi="Arabic Typesetting" w:cs="Arabic Typesetting"/>
          <w:b/>
          <w:bCs/>
          <w:sz w:val="96"/>
          <w:szCs w:val="96"/>
          <w:rtl/>
        </w:rPr>
      </w:pPr>
      <w:r w:rsidRPr="002C4E44">
        <w:rPr>
          <w:rFonts w:ascii="Arabic Typesetting" w:hAnsi="Arabic Typesetting" w:cs="Arabic Typesetting"/>
          <w:b/>
          <w:bCs/>
          <w:sz w:val="96"/>
          <w:szCs w:val="96"/>
          <w:rtl/>
        </w:rPr>
        <w:t xml:space="preserve"> </w:t>
      </w:r>
      <w:proofErr w:type="spellStart"/>
      <w:r w:rsidRPr="002C4E44">
        <w:rPr>
          <w:rFonts w:ascii="Arabic Typesetting" w:hAnsi="Arabic Typesetting" w:cs="Arabic Typesetting"/>
          <w:b/>
          <w:bCs/>
          <w:sz w:val="96"/>
          <w:szCs w:val="96"/>
          <w:rtl/>
        </w:rPr>
        <w:t>بعنوان:الأسرة</w:t>
      </w:r>
      <w:proofErr w:type="spellEnd"/>
      <w:r w:rsidRPr="002C4E44">
        <w:rPr>
          <w:rFonts w:ascii="Arabic Typesetting" w:hAnsi="Arabic Typesetting" w:cs="Arabic Typesetting"/>
          <w:b/>
          <w:bCs/>
          <w:sz w:val="96"/>
          <w:szCs w:val="96"/>
          <w:rtl/>
        </w:rPr>
        <w:t xml:space="preserve"> وحفظ الإنسان: </w:t>
      </w:r>
    </w:p>
    <w:p w:rsidR="002C5C21" w:rsidRPr="005E5842" w:rsidRDefault="002C5C21" w:rsidP="002C5C21">
      <w:pPr>
        <w:rPr>
          <w:rFonts w:ascii="Arabic Typesetting" w:hAnsi="Arabic Typesetting" w:cs="Arabic Typesetting"/>
          <w:b/>
          <w:bCs/>
          <w:sz w:val="96"/>
          <w:szCs w:val="96"/>
          <w:rtl/>
        </w:rPr>
      </w:pPr>
      <w:r w:rsidRPr="005E5842">
        <w:rPr>
          <w:rFonts w:ascii="Arabic Typesetting" w:hAnsi="Arabic Typesetting" w:cs="Arabic Typesetting" w:hint="eastAsia"/>
          <w:b/>
          <w:bCs/>
          <w:sz w:val="96"/>
          <w:szCs w:val="96"/>
          <w:rtl/>
        </w:rPr>
        <w:t>المبحث</w:t>
      </w:r>
      <w:r w:rsidRPr="005E5842">
        <w:rPr>
          <w:rFonts w:ascii="Arabic Typesetting" w:hAnsi="Arabic Typesetting" w:cs="Arabic Typesetting"/>
          <w:b/>
          <w:bCs/>
          <w:sz w:val="96"/>
          <w:szCs w:val="96"/>
          <w:rtl/>
        </w:rPr>
        <w:t xml:space="preserve"> الثاني- الحفظ الأخلاقي: مقصد التزكية</w:t>
      </w:r>
    </w:p>
    <w:p w:rsidR="002C5C21" w:rsidRPr="005E5842" w:rsidRDefault="002C5C21" w:rsidP="002C5C21">
      <w:pPr>
        <w:rPr>
          <w:rFonts w:ascii="Arabic Typesetting" w:hAnsi="Arabic Typesetting" w:cs="Arabic Typesetting"/>
          <w:b/>
          <w:bCs/>
          <w:sz w:val="96"/>
          <w:szCs w:val="96"/>
          <w:rtl/>
        </w:rPr>
      </w:pPr>
      <w:r w:rsidRPr="005E5842">
        <w:rPr>
          <w:rFonts w:ascii="Arabic Typesetting" w:hAnsi="Arabic Typesetting" w:cs="Arabic Typesetting" w:hint="eastAsia"/>
          <w:b/>
          <w:bCs/>
          <w:sz w:val="96"/>
          <w:szCs w:val="96"/>
          <w:rtl/>
        </w:rPr>
        <w:t>إن</w:t>
      </w:r>
      <w:r w:rsidRPr="005E5842">
        <w:rPr>
          <w:rFonts w:ascii="Arabic Typesetting" w:hAnsi="Arabic Typesetting" w:cs="Arabic Typesetting"/>
          <w:b/>
          <w:bCs/>
          <w:sz w:val="96"/>
          <w:szCs w:val="96"/>
          <w:rtl/>
        </w:rPr>
        <w:t xml:space="preserve"> التزكية المقصودة في هذا المقام ذات دلالة شاملة[لمزيد من التفصيل ينظر: </w:t>
      </w:r>
      <w:r w:rsidRPr="005E5842">
        <w:rPr>
          <w:rFonts w:ascii="Arabic Typesetting" w:hAnsi="Arabic Typesetting" w:cs="Arabic Typesetting"/>
          <w:b/>
          <w:bCs/>
          <w:sz w:val="96"/>
          <w:szCs w:val="96"/>
          <w:rtl/>
        </w:rPr>
        <w:lastRenderedPageBreak/>
        <w:t>جميلة تِلوت، الأسرة في التصور القرآني، ص89 وما بعدها.</w:t>
      </w:r>
      <w:r w:rsidRPr="005E5842">
        <w:rPr>
          <w:rFonts w:ascii="Arabic Typesetting" w:hAnsi="Arabic Typesetting" w:cs="Arabic Typesetting" w:hint="cs"/>
          <w:b/>
          <w:bCs/>
          <w:sz w:val="96"/>
          <w:szCs w:val="96"/>
          <w:rtl/>
        </w:rPr>
        <w:t>]</w:t>
      </w:r>
    </w:p>
    <w:p w:rsidR="002C5C21" w:rsidRPr="005E5842" w:rsidRDefault="002C5C21" w:rsidP="002C5C21">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 تشمل التربية الصالحة والإعداد النافع للنشء بالتركيز على ترسيخ الإيمان وتنمية المهارات العقلية وغرس المعاني </w:t>
      </w:r>
      <w:proofErr w:type="spellStart"/>
      <w:r w:rsidRPr="005E5842">
        <w:rPr>
          <w:rFonts w:ascii="Arabic Typesetting" w:hAnsi="Arabic Typesetting" w:cs="Arabic Typesetting"/>
          <w:b/>
          <w:bCs/>
          <w:sz w:val="96"/>
          <w:szCs w:val="96"/>
          <w:rtl/>
        </w:rPr>
        <w:t>الرسالية</w:t>
      </w:r>
      <w:proofErr w:type="spellEnd"/>
      <w:r w:rsidRPr="005E5842">
        <w:rPr>
          <w:rFonts w:ascii="Arabic Typesetting" w:hAnsi="Arabic Typesetting" w:cs="Arabic Typesetting"/>
          <w:b/>
          <w:bCs/>
          <w:sz w:val="96"/>
          <w:szCs w:val="96"/>
          <w:rtl/>
        </w:rPr>
        <w:t>، فتجتمع معاني العلم والمعرفة يزكيهما الإيمان ويوجههما، والتزكية مصطلح قرآني أصيل وه</w:t>
      </w:r>
      <w:r w:rsidRPr="005E5842">
        <w:rPr>
          <w:rFonts w:ascii="Arabic Typesetting" w:hAnsi="Arabic Typesetting" w:cs="Arabic Typesetting" w:hint="eastAsia"/>
          <w:b/>
          <w:bCs/>
          <w:sz w:val="96"/>
          <w:szCs w:val="96"/>
          <w:rtl/>
        </w:rPr>
        <w:t>و</w:t>
      </w:r>
      <w:r w:rsidRPr="005E5842">
        <w:rPr>
          <w:rFonts w:ascii="Arabic Typesetting" w:hAnsi="Arabic Typesetting" w:cs="Arabic Typesetting"/>
          <w:b/>
          <w:bCs/>
          <w:sz w:val="96"/>
          <w:szCs w:val="96"/>
          <w:rtl/>
        </w:rPr>
        <w:t xml:space="preserve"> أخص من مفهوم التربية من وجه؛ إذ إنها خاصة في التربية على مقتضى أحكام الدين وأخلاقه، وهذا ما قرره طه عبد </w:t>
      </w:r>
      <w:r w:rsidRPr="005E5842">
        <w:rPr>
          <w:rFonts w:ascii="Arabic Typesetting" w:hAnsi="Arabic Typesetting" w:cs="Arabic Typesetting"/>
          <w:b/>
          <w:bCs/>
          <w:sz w:val="96"/>
          <w:szCs w:val="96"/>
          <w:rtl/>
        </w:rPr>
        <w:lastRenderedPageBreak/>
        <w:t>الرحمن حيث قرر أن «هذا المفهوم أدل على المقصود ب«التربية على مقتضى تعاليم الدين» من مصطلح «التربية» الذي شاع وذاع مع أنه في السياق القرآني أقرب إلى إف</w:t>
      </w:r>
      <w:r w:rsidRPr="005E5842">
        <w:rPr>
          <w:rFonts w:ascii="Arabic Typesetting" w:hAnsi="Arabic Typesetting" w:cs="Arabic Typesetting" w:hint="eastAsia"/>
          <w:b/>
          <w:bCs/>
          <w:sz w:val="96"/>
          <w:szCs w:val="96"/>
          <w:rtl/>
        </w:rPr>
        <w:t>ادة</w:t>
      </w:r>
      <w:r w:rsidRPr="005E5842">
        <w:rPr>
          <w:rFonts w:ascii="Arabic Typesetting" w:hAnsi="Arabic Typesetting" w:cs="Arabic Typesetting"/>
          <w:b/>
          <w:bCs/>
          <w:sz w:val="96"/>
          <w:szCs w:val="96"/>
          <w:rtl/>
        </w:rPr>
        <w:t xml:space="preserve"> معنى «رعاية» الفرد في صباه منها إلى إفادة معنى «تنمية» كامل قواه» </w:t>
      </w:r>
      <w:r w:rsidRPr="00B009D3">
        <w:rPr>
          <w:rFonts w:ascii="Arabic Typesetting" w:hAnsi="Arabic Typesetting" w:cs="Arabic Typesetting"/>
          <w:b/>
          <w:bCs/>
          <w:sz w:val="92"/>
          <w:szCs w:val="92"/>
          <w:rtl/>
        </w:rPr>
        <w:t>[طه عبد الرحمن، من الإنسان الأبتر إلى الإنسان الكوثر، ص39.</w:t>
      </w:r>
      <w:r w:rsidRPr="00B009D3">
        <w:rPr>
          <w:rFonts w:ascii="Arabic Typesetting" w:hAnsi="Arabic Typesetting" w:cs="Arabic Typesetting" w:hint="cs"/>
          <w:b/>
          <w:bCs/>
          <w:sz w:val="92"/>
          <w:szCs w:val="92"/>
          <w:rtl/>
        </w:rPr>
        <w:t>]</w:t>
      </w:r>
    </w:p>
    <w:p w:rsidR="002C5C21" w:rsidRPr="005E5842" w:rsidRDefault="002C5C21" w:rsidP="002C5C21">
      <w:pPr>
        <w:rPr>
          <w:rFonts w:ascii="Arabic Typesetting" w:hAnsi="Arabic Typesetting" w:cs="Arabic Typesetting"/>
          <w:b/>
          <w:bCs/>
          <w:sz w:val="96"/>
          <w:szCs w:val="96"/>
          <w:rtl/>
        </w:rPr>
      </w:pPr>
      <w:r w:rsidRPr="005E5842">
        <w:rPr>
          <w:rFonts w:ascii="Arabic Typesetting" w:hAnsi="Arabic Typesetting" w:cs="Arabic Typesetting" w:hint="eastAsia"/>
          <w:b/>
          <w:bCs/>
          <w:sz w:val="96"/>
          <w:szCs w:val="96"/>
          <w:rtl/>
        </w:rPr>
        <w:t>وأرى</w:t>
      </w:r>
      <w:r w:rsidRPr="005E5842">
        <w:rPr>
          <w:rFonts w:ascii="Arabic Typesetting" w:hAnsi="Arabic Typesetting" w:cs="Arabic Typesetting"/>
          <w:b/>
          <w:bCs/>
          <w:sz w:val="96"/>
          <w:szCs w:val="96"/>
          <w:rtl/>
        </w:rPr>
        <w:t xml:space="preserve"> أن تحديد طه عبد الرحمن هنا تمّ بالنظر إلى الاستعمال الحالي، أما بالنظر إلى الاستعمال القرآني، سنجد أن التزكية </w:t>
      </w:r>
      <w:r w:rsidRPr="005E5842">
        <w:rPr>
          <w:rFonts w:ascii="Arabic Typesetting" w:hAnsi="Arabic Typesetting" w:cs="Arabic Typesetting"/>
          <w:b/>
          <w:bCs/>
          <w:sz w:val="96"/>
          <w:szCs w:val="96"/>
          <w:rtl/>
        </w:rPr>
        <w:lastRenderedPageBreak/>
        <w:t>جزء من التربية، وإن كان بينهما عموم وخصوص، فقد جاء في الآية ﴿وَقُلْ رَبِّ ارْحَمْهُمَا كَمَا رَبَّيَانِي صَغِيرًا ﴾[الإسراء:24]، فأنيط دعاء ا</w:t>
      </w:r>
      <w:r w:rsidRPr="005E5842">
        <w:rPr>
          <w:rFonts w:ascii="Arabic Typesetting" w:hAnsi="Arabic Typesetting" w:cs="Arabic Typesetting" w:hint="eastAsia"/>
          <w:b/>
          <w:bCs/>
          <w:sz w:val="96"/>
          <w:szCs w:val="96"/>
          <w:rtl/>
        </w:rPr>
        <w:t>لأبناء</w:t>
      </w:r>
      <w:r w:rsidRPr="005E5842">
        <w:rPr>
          <w:rFonts w:ascii="Arabic Typesetting" w:hAnsi="Arabic Typesetting" w:cs="Arabic Typesetting"/>
          <w:b/>
          <w:bCs/>
          <w:sz w:val="96"/>
          <w:szCs w:val="96"/>
          <w:rtl/>
        </w:rPr>
        <w:t xml:space="preserve"> لآبائهم على الكبر بتربية الآباء لهم في الصغر، فالتربية هنا لا يقصد بها مجرد الأكل والشرب وغيره لأن هذه أمور تشترك فيها المخلوقات، وإنما تكمن خصوصية التربية الإسلامية في التركيز على الأبعاد الأخلاقية، خصوصا </w:t>
      </w:r>
      <w:proofErr w:type="spellStart"/>
      <w:r w:rsidRPr="005E5842">
        <w:rPr>
          <w:rFonts w:ascii="Arabic Typesetting" w:hAnsi="Arabic Typesetting" w:cs="Arabic Typesetting"/>
          <w:b/>
          <w:bCs/>
          <w:sz w:val="96"/>
          <w:szCs w:val="96"/>
          <w:rtl/>
        </w:rPr>
        <w:t>التزكوية</w:t>
      </w:r>
      <w:proofErr w:type="spellEnd"/>
      <w:r w:rsidRPr="005E5842">
        <w:rPr>
          <w:rFonts w:ascii="Arabic Typesetting" w:hAnsi="Arabic Typesetting" w:cs="Arabic Typesetting"/>
          <w:b/>
          <w:bCs/>
          <w:sz w:val="96"/>
          <w:szCs w:val="96"/>
          <w:rtl/>
        </w:rPr>
        <w:t>، لذلك كانت التزكية جوهر التربية ال</w:t>
      </w:r>
      <w:r w:rsidRPr="005E5842">
        <w:rPr>
          <w:rFonts w:ascii="Arabic Typesetting" w:hAnsi="Arabic Typesetting" w:cs="Arabic Typesetting" w:hint="eastAsia"/>
          <w:b/>
          <w:bCs/>
          <w:sz w:val="96"/>
          <w:szCs w:val="96"/>
          <w:rtl/>
        </w:rPr>
        <w:t>إسلامية</w:t>
      </w:r>
      <w:r w:rsidRPr="005E5842">
        <w:rPr>
          <w:rFonts w:ascii="Arabic Typesetting" w:hAnsi="Arabic Typesetting" w:cs="Arabic Typesetting"/>
          <w:b/>
          <w:bCs/>
          <w:sz w:val="96"/>
          <w:szCs w:val="96"/>
          <w:rtl/>
        </w:rPr>
        <w:t>.</w:t>
      </w:r>
    </w:p>
    <w:p w:rsidR="002C5C21" w:rsidRDefault="002C5C21" w:rsidP="002C5C21">
      <w:pPr>
        <w:rPr>
          <w:rFonts w:ascii="Arabic Typesetting" w:hAnsi="Arabic Typesetting" w:cs="Arabic Typesetting"/>
          <w:b/>
          <w:bCs/>
          <w:sz w:val="96"/>
          <w:szCs w:val="96"/>
          <w:rtl/>
        </w:rPr>
      </w:pPr>
      <w:r w:rsidRPr="005E5842">
        <w:rPr>
          <w:rFonts w:ascii="Arabic Typesetting" w:hAnsi="Arabic Typesetting" w:cs="Arabic Typesetting" w:hint="eastAsia"/>
          <w:b/>
          <w:bCs/>
          <w:sz w:val="96"/>
          <w:szCs w:val="96"/>
          <w:rtl/>
        </w:rPr>
        <w:lastRenderedPageBreak/>
        <w:t>فالتزكية</w:t>
      </w:r>
      <w:r w:rsidRPr="005E5842">
        <w:rPr>
          <w:rFonts w:ascii="Arabic Typesetting" w:hAnsi="Arabic Typesetting" w:cs="Arabic Typesetting"/>
          <w:b/>
          <w:bCs/>
          <w:sz w:val="96"/>
          <w:szCs w:val="96"/>
          <w:rtl/>
        </w:rPr>
        <w:t xml:space="preserve"> من مقاصد بعثة الأنبياء؛ وقد جاء في دعوة إبراهيم: ﴿رَبَّنَا وَابْعَثْ</w:t>
      </w:r>
    </w:p>
    <w:p w:rsidR="002C5C21" w:rsidRPr="005E5842" w:rsidRDefault="002C5C21" w:rsidP="002C5C21">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 فِيهِمْ رَسُولًا مِنْهُمْ يَتْلُو عَلَيْهِمْ آيَاتِكَ وَيُعَلِّمُهُمُ الْكِتَابَ وَالْحِكْمَةَ وَيُزَكِّيهِمْ إِنَّكَ أَنْتَ الْعَزِيزُ الْحَكِيمُ﴾[البقرة: 129]،لذلك كان من أهم أ</w:t>
      </w:r>
      <w:r w:rsidRPr="005E5842">
        <w:rPr>
          <w:rFonts w:ascii="Arabic Typesetting" w:hAnsi="Arabic Typesetting" w:cs="Arabic Typesetting" w:hint="eastAsia"/>
          <w:b/>
          <w:bCs/>
          <w:sz w:val="96"/>
          <w:szCs w:val="96"/>
          <w:rtl/>
        </w:rPr>
        <w:t>هداف</w:t>
      </w:r>
      <w:r w:rsidRPr="005E5842">
        <w:rPr>
          <w:rFonts w:ascii="Arabic Typesetting" w:hAnsi="Arabic Typesetting" w:cs="Arabic Typesetting"/>
          <w:b/>
          <w:bCs/>
          <w:sz w:val="96"/>
          <w:szCs w:val="96"/>
          <w:rtl/>
        </w:rPr>
        <w:t xml:space="preserve"> الإسلام تحقيق وإيجاد 'إنسان التزكية' القادر على تحقيق التوحيد، وإقامة العمران</w:t>
      </w:r>
      <w:r w:rsidRPr="00B009D3">
        <w:rPr>
          <w:rFonts w:ascii="Arabic Typesetting" w:hAnsi="Arabic Typesetting" w:cs="Arabic Typesetting"/>
          <w:b/>
          <w:bCs/>
          <w:sz w:val="46"/>
          <w:szCs w:val="46"/>
          <w:rtl/>
        </w:rPr>
        <w:t xml:space="preserve">[ينظر: طه جابر </w:t>
      </w:r>
      <w:proofErr w:type="spellStart"/>
      <w:r w:rsidRPr="00B009D3">
        <w:rPr>
          <w:rFonts w:ascii="Arabic Typesetting" w:hAnsi="Arabic Typesetting" w:cs="Arabic Typesetting"/>
          <w:b/>
          <w:bCs/>
          <w:sz w:val="46"/>
          <w:szCs w:val="46"/>
          <w:rtl/>
        </w:rPr>
        <w:t>العلواني</w:t>
      </w:r>
      <w:proofErr w:type="spellEnd"/>
      <w:r w:rsidRPr="00B009D3">
        <w:rPr>
          <w:rFonts w:ascii="Arabic Typesetting" w:hAnsi="Arabic Typesetting" w:cs="Arabic Typesetting"/>
          <w:b/>
          <w:bCs/>
          <w:sz w:val="46"/>
          <w:szCs w:val="46"/>
          <w:rtl/>
        </w:rPr>
        <w:t>، التوحيد والتزكية والعمران: محاولات في الكشف عن القيم والمقاصد القرآنية الحاكمة، ص119-120.</w:t>
      </w:r>
      <w:r w:rsidRPr="00B009D3">
        <w:rPr>
          <w:rFonts w:ascii="Arabic Typesetting" w:hAnsi="Arabic Typesetting" w:cs="Arabic Typesetting" w:hint="cs"/>
          <w:b/>
          <w:bCs/>
          <w:sz w:val="46"/>
          <w:szCs w:val="46"/>
          <w:rtl/>
        </w:rPr>
        <w:t>]</w:t>
      </w:r>
    </w:p>
    <w:p w:rsidR="002C5C21" w:rsidRPr="005E5842" w:rsidRDefault="002C5C21" w:rsidP="002C5C21">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والتزكية لا تتحقق دون التوحيد، ولا تظهر دون فعل عمراني ينبه إلى الأبعاد </w:t>
      </w:r>
      <w:r w:rsidRPr="005E5842">
        <w:rPr>
          <w:rFonts w:ascii="Arabic Typesetting" w:hAnsi="Arabic Typesetting" w:cs="Arabic Typesetting"/>
          <w:b/>
          <w:bCs/>
          <w:sz w:val="96"/>
          <w:szCs w:val="96"/>
          <w:rtl/>
        </w:rPr>
        <w:lastRenderedPageBreak/>
        <w:t>الفكرية والعقدية والنفسية والعقلية للإنسان الذي قام به.</w:t>
      </w:r>
    </w:p>
    <w:p w:rsidR="002C5C21" w:rsidRDefault="002C5C21" w:rsidP="002C5C21">
      <w:pPr>
        <w:rPr>
          <w:rFonts w:ascii="Arabic Typesetting" w:hAnsi="Arabic Typesetting" w:cs="Arabic Typesetting"/>
          <w:b/>
          <w:bCs/>
          <w:sz w:val="96"/>
          <w:szCs w:val="96"/>
          <w:rtl/>
        </w:rPr>
      </w:pPr>
      <w:r w:rsidRPr="005E5842">
        <w:rPr>
          <w:rFonts w:ascii="Arabic Typesetting" w:hAnsi="Arabic Typesetting" w:cs="Arabic Typesetting" w:hint="eastAsia"/>
          <w:b/>
          <w:bCs/>
          <w:sz w:val="96"/>
          <w:szCs w:val="96"/>
          <w:rtl/>
        </w:rPr>
        <w:t>وقد</w:t>
      </w:r>
      <w:r w:rsidRPr="005E5842">
        <w:rPr>
          <w:rFonts w:ascii="Arabic Typesetting" w:hAnsi="Arabic Typesetting" w:cs="Arabic Typesetting"/>
          <w:b/>
          <w:bCs/>
          <w:sz w:val="96"/>
          <w:szCs w:val="96"/>
          <w:rtl/>
        </w:rPr>
        <w:t xml:space="preserve"> جاء في الخطاب القرآني وصف الابن بالزكي، حيث جاء على لسان</w:t>
      </w:r>
    </w:p>
    <w:p w:rsidR="002C5C21" w:rsidRDefault="002C5C21" w:rsidP="002C5C21">
      <w:pPr>
        <w:rPr>
          <w:rFonts w:ascii="Arabic Typesetting" w:hAnsi="Arabic Typesetting" w:cs="Arabic Typesetting"/>
          <w:b/>
          <w:bCs/>
          <w:sz w:val="96"/>
          <w:szCs w:val="96"/>
          <w:rtl/>
        </w:rPr>
      </w:pPr>
      <w:r>
        <w:rPr>
          <w:rFonts w:ascii="Arabic Typesetting" w:hAnsi="Arabic Typesetting" w:cs="Arabic Typesetting"/>
          <w:b/>
          <w:bCs/>
          <w:sz w:val="96"/>
          <w:szCs w:val="96"/>
          <w:rtl/>
        </w:rPr>
        <w:t xml:space="preserve"> جبريل مخاطبا مريم</w:t>
      </w:r>
      <w:r>
        <w:rPr>
          <w:rFonts w:ascii="Arabic Typesetting" w:hAnsi="Arabic Typesetting" w:cs="Arabic Typesetting" w:hint="cs"/>
          <w:b/>
          <w:bCs/>
          <w:sz w:val="96"/>
          <w:szCs w:val="96"/>
          <w:rtl/>
        </w:rPr>
        <w:t xml:space="preserve"> </w:t>
      </w:r>
      <w:r w:rsidRPr="005E5842">
        <w:rPr>
          <w:rFonts w:ascii="Arabic Typesetting" w:hAnsi="Arabic Typesetting" w:cs="Arabic Typesetting"/>
          <w:b/>
          <w:bCs/>
          <w:sz w:val="96"/>
          <w:szCs w:val="96"/>
          <w:rtl/>
        </w:rPr>
        <w:t xml:space="preserve">: ﴿قَالَ إِنَّمَا أَنَا رَسُولُ رَبِّكِ لِأَهَبَ لَكِ غُلَامًا زَكِيًّا﴾[مريم: 19]،فوصفُ الابن بالزكي له دلالته وخصوصيته؛ فكانت أنجع أضرب التزكية تلكم التي تكون منذ الصغر حتى </w:t>
      </w:r>
      <w:r w:rsidRPr="005E5842">
        <w:rPr>
          <w:rFonts w:ascii="Arabic Typesetting" w:hAnsi="Arabic Typesetting" w:cs="Arabic Typesetting" w:hint="eastAsia"/>
          <w:b/>
          <w:bCs/>
          <w:sz w:val="96"/>
          <w:szCs w:val="96"/>
          <w:rtl/>
        </w:rPr>
        <w:t>يرتقي</w:t>
      </w:r>
      <w:r w:rsidRPr="005E5842">
        <w:rPr>
          <w:rFonts w:ascii="Arabic Typesetting" w:hAnsi="Arabic Typesetting" w:cs="Arabic Typesetting"/>
          <w:b/>
          <w:bCs/>
          <w:sz w:val="96"/>
          <w:szCs w:val="96"/>
          <w:rtl/>
        </w:rPr>
        <w:t xml:space="preserve"> الإنسان في مدارج الإيمان بخلفية توحيدية </w:t>
      </w:r>
      <w:r w:rsidRPr="005E5842">
        <w:rPr>
          <w:rFonts w:ascii="Arabic Typesetting" w:hAnsi="Arabic Typesetting" w:cs="Arabic Typesetting"/>
          <w:b/>
          <w:bCs/>
          <w:sz w:val="96"/>
          <w:szCs w:val="96"/>
          <w:rtl/>
        </w:rPr>
        <w:lastRenderedPageBreak/>
        <w:t xml:space="preserve">ورؤية عمرانية تنمو مع مرور الأيام، فتخرج التزكية من الجانب النفسي الوجداني إلى الجانب الفعلي العملي، متعدية الفرد إلى المجتمع، فتكون التزكية بذلك فعلا إنمائيا وعملا بنائيا؛ يبني الإنسان وينمي الحضارات، ولا بناء للإنسان خارج مؤسسة الأسرة باعتبارها المحضن الأساس للتربية الصالحة، التي تكون نجاحا في الدنيا، وفلاحا في الآخرة، فهي سبب للارتقاء في الدرجات العلى، ودخول جنات عدن خالدين فيها أبدا ﴿وَمَنْ يَأْتِهِ </w:t>
      </w:r>
      <w:r w:rsidRPr="005E5842">
        <w:rPr>
          <w:rFonts w:ascii="Arabic Typesetting" w:hAnsi="Arabic Typesetting" w:cs="Arabic Typesetting"/>
          <w:b/>
          <w:bCs/>
          <w:sz w:val="96"/>
          <w:szCs w:val="96"/>
          <w:rtl/>
        </w:rPr>
        <w:lastRenderedPageBreak/>
        <w:t>مُؤْمِنًا قَدْ عَمِلَ الصَّالِحَاتِ فَأُوْلَئِكَ لَهُمُ الد</w:t>
      </w:r>
      <w:r w:rsidRPr="005E5842">
        <w:rPr>
          <w:rFonts w:ascii="Arabic Typesetting" w:hAnsi="Arabic Typesetting" w:cs="Arabic Typesetting" w:hint="eastAsia"/>
          <w:b/>
          <w:bCs/>
          <w:sz w:val="96"/>
          <w:szCs w:val="96"/>
          <w:rtl/>
        </w:rPr>
        <w:t>َّرَجَاتُ</w:t>
      </w:r>
      <w:r w:rsidRPr="005E5842">
        <w:rPr>
          <w:rFonts w:ascii="Arabic Typesetting" w:hAnsi="Arabic Typesetting" w:cs="Arabic Typesetting"/>
          <w:b/>
          <w:bCs/>
          <w:sz w:val="96"/>
          <w:szCs w:val="96"/>
          <w:rtl/>
        </w:rPr>
        <w:t xml:space="preserve"> الْعُلَى. جَنَّاتُ عَدْنٍ تَجْرِي مِن تَحْتِهَا الْأَنْهَارُ خَالِدِينَ فِيهَا وَذَلِكَ جَزَاء مَن تَزَكَّى﴾[طه: 75-76].</w:t>
      </w:r>
    </w:p>
    <w:p w:rsidR="002C5C21" w:rsidRPr="00B009D3" w:rsidRDefault="002C5C21" w:rsidP="002C5C21">
      <w:pPr>
        <w:rPr>
          <w:rFonts w:ascii="Arabic Typesetting" w:hAnsi="Arabic Typesetting" w:cs="Arabic Typesetting"/>
          <w:b/>
          <w:bCs/>
          <w:sz w:val="96"/>
          <w:szCs w:val="96"/>
          <w:rtl/>
        </w:rPr>
      </w:pPr>
      <w:r w:rsidRPr="00B009D3">
        <w:rPr>
          <w:rFonts w:ascii="Arabic Typesetting" w:hAnsi="Arabic Typesetting" w:cs="Arabic Typesetting"/>
          <w:b/>
          <w:bCs/>
          <w:sz w:val="96"/>
          <w:szCs w:val="96"/>
          <w:rtl/>
        </w:rPr>
        <w:t>إلى هنا ونكمل في الحلقة التالية والسلام عليكم ورحمة الله وبركاته .</w:t>
      </w:r>
    </w:p>
    <w:p w:rsidR="00037335" w:rsidRDefault="00037335">
      <w:bookmarkStart w:id="0" w:name="_GoBack"/>
      <w:bookmarkEnd w:id="0"/>
    </w:p>
    <w:sectPr w:rsidR="00037335" w:rsidSect="00BB584D">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710C" w:rsidRDefault="00A5710C" w:rsidP="002C5C21">
      <w:pPr>
        <w:spacing w:after="0" w:line="240" w:lineRule="auto"/>
      </w:pPr>
      <w:r>
        <w:separator/>
      </w:r>
    </w:p>
  </w:endnote>
  <w:endnote w:type="continuationSeparator" w:id="0">
    <w:p w:rsidR="00A5710C" w:rsidRDefault="00A5710C" w:rsidP="002C5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FF" w:usb2="00000029" w:usb3="00000000" w:csb0="000001FF" w:csb1="00000000"/>
  </w:font>
  <w:font w:name="Times New Roman">
    <w:panose1 w:val="02020603050405020304"/>
    <w:charset w:val="00"/>
    <w:family w:val="roman"/>
    <w:pitch w:val="variable"/>
    <w:sig w:usb0="E0002EFF" w:usb1="C0007843" w:usb2="00000009" w:usb3="00000000" w:csb0="000001FF"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808626334"/>
      <w:docPartObj>
        <w:docPartGallery w:val="Page Numbers (Bottom of Page)"/>
        <w:docPartUnique/>
      </w:docPartObj>
    </w:sdtPr>
    <w:sdtContent>
      <w:p w:rsidR="002C5C21" w:rsidRDefault="002C5C21">
        <w:pPr>
          <w:pStyle w:val="a4"/>
          <w:jc w:val="center"/>
        </w:pPr>
        <w:r>
          <w:fldChar w:fldCharType="begin"/>
        </w:r>
        <w:r>
          <w:instrText>PAGE   \* MERGEFORMAT</w:instrText>
        </w:r>
        <w:r>
          <w:fldChar w:fldCharType="separate"/>
        </w:r>
        <w:r w:rsidRPr="002C5C21">
          <w:rPr>
            <w:noProof/>
            <w:rtl/>
            <w:lang w:val="ar-SA"/>
          </w:rPr>
          <w:t>8</w:t>
        </w:r>
        <w:r>
          <w:fldChar w:fldCharType="end"/>
        </w:r>
      </w:p>
    </w:sdtContent>
  </w:sdt>
  <w:p w:rsidR="002C5C21" w:rsidRDefault="002C5C2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710C" w:rsidRDefault="00A5710C" w:rsidP="002C5C21">
      <w:pPr>
        <w:spacing w:after="0" w:line="240" w:lineRule="auto"/>
      </w:pPr>
      <w:r>
        <w:separator/>
      </w:r>
    </w:p>
  </w:footnote>
  <w:footnote w:type="continuationSeparator" w:id="0">
    <w:p w:rsidR="00A5710C" w:rsidRDefault="00A5710C" w:rsidP="002C5C2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5C21"/>
    <w:rsid w:val="00037335"/>
    <w:rsid w:val="002C5C21"/>
    <w:rsid w:val="00A5710C"/>
    <w:rsid w:val="00BB58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5C21"/>
    <w:pPr>
      <w:bidi/>
    </w:pPr>
    <w:rPr>
      <w:rFonts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C5C21"/>
    <w:pPr>
      <w:tabs>
        <w:tab w:val="center" w:pos="4153"/>
        <w:tab w:val="right" w:pos="8306"/>
      </w:tabs>
      <w:spacing w:after="0" w:line="240" w:lineRule="auto"/>
    </w:pPr>
  </w:style>
  <w:style w:type="character" w:customStyle="1" w:styleId="Char">
    <w:name w:val="رأس الصفحة Char"/>
    <w:basedOn w:val="a0"/>
    <w:link w:val="a3"/>
    <w:uiPriority w:val="99"/>
    <w:rsid w:val="002C5C21"/>
    <w:rPr>
      <w:rFonts w:cs="Arial"/>
    </w:rPr>
  </w:style>
  <w:style w:type="paragraph" w:styleId="a4">
    <w:name w:val="footer"/>
    <w:basedOn w:val="a"/>
    <w:link w:val="Char0"/>
    <w:uiPriority w:val="99"/>
    <w:unhideWhenUsed/>
    <w:rsid w:val="002C5C21"/>
    <w:pPr>
      <w:tabs>
        <w:tab w:val="center" w:pos="4153"/>
        <w:tab w:val="right" w:pos="8306"/>
      </w:tabs>
      <w:spacing w:after="0" w:line="240" w:lineRule="auto"/>
    </w:pPr>
  </w:style>
  <w:style w:type="character" w:customStyle="1" w:styleId="Char0">
    <w:name w:val="تذييل الصفحة Char"/>
    <w:basedOn w:val="a0"/>
    <w:link w:val="a4"/>
    <w:uiPriority w:val="99"/>
    <w:rsid w:val="002C5C21"/>
    <w:rPr>
      <w:rFonts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5C21"/>
    <w:pPr>
      <w:bidi/>
    </w:pPr>
    <w:rPr>
      <w:rFonts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C5C21"/>
    <w:pPr>
      <w:tabs>
        <w:tab w:val="center" w:pos="4153"/>
        <w:tab w:val="right" w:pos="8306"/>
      </w:tabs>
      <w:spacing w:after="0" w:line="240" w:lineRule="auto"/>
    </w:pPr>
  </w:style>
  <w:style w:type="character" w:customStyle="1" w:styleId="Char">
    <w:name w:val="رأس الصفحة Char"/>
    <w:basedOn w:val="a0"/>
    <w:link w:val="a3"/>
    <w:uiPriority w:val="99"/>
    <w:rsid w:val="002C5C21"/>
    <w:rPr>
      <w:rFonts w:cs="Arial"/>
    </w:rPr>
  </w:style>
  <w:style w:type="paragraph" w:styleId="a4">
    <w:name w:val="footer"/>
    <w:basedOn w:val="a"/>
    <w:link w:val="Char0"/>
    <w:uiPriority w:val="99"/>
    <w:unhideWhenUsed/>
    <w:rsid w:val="002C5C21"/>
    <w:pPr>
      <w:tabs>
        <w:tab w:val="center" w:pos="4153"/>
        <w:tab w:val="right" w:pos="8306"/>
      </w:tabs>
      <w:spacing w:after="0" w:line="240" w:lineRule="auto"/>
    </w:pPr>
  </w:style>
  <w:style w:type="character" w:customStyle="1" w:styleId="Char0">
    <w:name w:val="تذييل الصفحة Char"/>
    <w:basedOn w:val="a0"/>
    <w:link w:val="a4"/>
    <w:uiPriority w:val="99"/>
    <w:rsid w:val="002C5C21"/>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446</Words>
  <Characters>2546</Characters>
  <Application>Microsoft Office Word</Application>
  <DocSecurity>0</DocSecurity>
  <Lines>21</Lines>
  <Paragraphs>5</Paragraphs>
  <ScaleCrop>false</ScaleCrop>
  <Company>Ahmed-Under</Company>
  <LinksUpToDate>false</LinksUpToDate>
  <CharactersWithSpaces>2987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2021-03-21T10:26:00Z</dcterms:created>
  <dcterms:modified xsi:type="dcterms:W3CDTF">2021-03-21T10:27:00Z</dcterms:modified>
</cp:coreProperties>
</file>