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559" w:rsidRPr="00CA10B8" w:rsidRDefault="00186559" w:rsidP="00186559">
      <w:pPr>
        <w:rPr>
          <w:rFonts w:ascii="Arabic Typesetting" w:hAnsi="Arabic Typesetting" w:cs="Arabic Typesetting"/>
          <w:b/>
          <w:bCs/>
          <w:sz w:val="88"/>
          <w:szCs w:val="88"/>
          <w:rtl/>
        </w:rPr>
      </w:pPr>
      <w:r w:rsidRPr="00CA10B8">
        <w:rPr>
          <w:rFonts w:ascii="Arabic Typesetting" w:hAnsi="Arabic Typesetting" w:cs="Arabic Typesetting"/>
          <w:b/>
          <w:bCs/>
          <w:sz w:val="88"/>
          <w:szCs w:val="88"/>
          <w:rtl/>
        </w:rPr>
        <w:t>بسم الله والحمد لله والصلاة والسلام على رسول الله وبعد :</w:t>
      </w:r>
    </w:p>
    <w:p w:rsidR="00186559" w:rsidRPr="00CA10B8" w:rsidRDefault="00186559" w:rsidP="00186559">
      <w:pPr>
        <w:rPr>
          <w:rFonts w:ascii="Arabic Typesetting" w:hAnsi="Arabic Typesetting" w:cs="Arabic Typesetting"/>
          <w:b/>
          <w:bCs/>
          <w:sz w:val="88"/>
          <w:szCs w:val="88"/>
          <w:rtl/>
        </w:rPr>
      </w:pPr>
      <w:r w:rsidRPr="00CA10B8">
        <w:rPr>
          <w:rFonts w:ascii="Arabic Typesetting" w:hAnsi="Arabic Typesetting" w:cs="Arabic Typesetting"/>
          <w:b/>
          <w:bCs/>
          <w:sz w:val="88"/>
          <w:szCs w:val="88"/>
          <w:rtl/>
        </w:rPr>
        <w:t xml:space="preserve">فهذه الحلقة </w:t>
      </w:r>
      <w:r>
        <w:rPr>
          <w:rFonts w:ascii="Arabic Typesetting" w:hAnsi="Arabic Typesetting" w:cs="Arabic Typesetting" w:hint="cs"/>
          <w:b/>
          <w:bCs/>
          <w:sz w:val="88"/>
          <w:szCs w:val="88"/>
          <w:rtl/>
        </w:rPr>
        <w:t>الرابعة</w:t>
      </w:r>
      <w:r w:rsidRPr="00CA10B8">
        <w:rPr>
          <w:rFonts w:ascii="Arabic Typesetting" w:hAnsi="Arabic Typesetting" w:cs="Arabic Typesetting"/>
          <w:b/>
          <w:bCs/>
          <w:sz w:val="88"/>
          <w:szCs w:val="88"/>
          <w:rtl/>
        </w:rPr>
        <w:t xml:space="preserve"> عشرة </w:t>
      </w:r>
      <w:proofErr w:type="spellStart"/>
      <w:r w:rsidRPr="00CA10B8">
        <w:rPr>
          <w:rFonts w:ascii="Arabic Typesetting" w:hAnsi="Arabic Typesetting" w:cs="Arabic Typesetting"/>
          <w:b/>
          <w:bCs/>
          <w:sz w:val="88"/>
          <w:szCs w:val="88"/>
          <w:rtl/>
        </w:rPr>
        <w:t>بعدالمائتين</w:t>
      </w:r>
      <w:proofErr w:type="spellEnd"/>
      <w:r w:rsidRPr="00CA10B8">
        <w:rPr>
          <w:rFonts w:ascii="Arabic Typesetting" w:hAnsi="Arabic Typesetting" w:cs="Arabic Typesetting"/>
          <w:b/>
          <w:bCs/>
          <w:sz w:val="88"/>
          <w:szCs w:val="88"/>
          <w:rtl/>
        </w:rPr>
        <w:t xml:space="preserve"> في موضوع ( الواحد الأحد)  من اسماء الله الحسنى وصفاته وهي بعنوان :العقيدة هي التوحيد:</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التَّوحيد في السُّنَّة</w:t>
      </w:r>
      <w:r w:rsidRPr="00C31732">
        <w:rPr>
          <w:rFonts w:ascii="Arabic Typesetting" w:hAnsi="Arabic Typesetting" w:cs="Arabic Typesetting" w:hint="cs"/>
          <w:b/>
          <w:bCs/>
          <w:sz w:val="88"/>
          <w:szCs w:val="88"/>
          <w:rtl/>
        </w:rPr>
        <w:t xml:space="preserve"> :</w:t>
      </w:r>
    </w:p>
    <w:p w:rsidR="00186559" w:rsidRPr="00C31732" w:rsidRDefault="00186559" w:rsidP="0018655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وأما في سُنَّة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فإنَّ النَّبي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أخبر أنَّه بُعث بالحنفية السمحاء وهي التوحيد، وأنَّه كذلك بُعث به إلى الناس </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كافة: يا أيها الناس قولوا لا إله إلا الله تفلحوا </w:t>
      </w:r>
      <w:r w:rsidRPr="0083086F">
        <w:rPr>
          <w:rFonts w:ascii="Arabic Typesetting" w:hAnsi="Arabic Typesetting" w:cs="Arabic Typesetting"/>
          <w:b/>
          <w:bCs/>
          <w:sz w:val="72"/>
          <w:szCs w:val="72"/>
          <w:rtl/>
        </w:rPr>
        <w:t>[رواه أحمد: 16023، وابن حِبَّان: 6562، وابن خزيمة: 159، والطبراني: 4584، وصححه الألباني ف</w:t>
      </w:r>
      <w:r w:rsidRPr="0083086F">
        <w:rPr>
          <w:rFonts w:ascii="Arabic Typesetting" w:hAnsi="Arabic Typesetting" w:cs="Arabic Typesetting" w:hint="eastAsia"/>
          <w:b/>
          <w:bCs/>
          <w:sz w:val="72"/>
          <w:szCs w:val="72"/>
          <w:rtl/>
        </w:rPr>
        <w:t>ي</w:t>
      </w:r>
      <w:r w:rsidRPr="0083086F">
        <w:rPr>
          <w:rFonts w:ascii="Arabic Typesetting" w:hAnsi="Arabic Typesetting" w:cs="Arabic Typesetting"/>
          <w:b/>
          <w:bCs/>
          <w:sz w:val="72"/>
          <w:szCs w:val="72"/>
          <w:rtl/>
        </w:rPr>
        <w:t xml:space="preserve"> صحيح السيرة النبوية: 1/143].</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lastRenderedPageBreak/>
        <w:t>وأنه</w:t>
      </w:r>
      <w:r w:rsidRPr="00C31732">
        <w:rPr>
          <w:rFonts w:ascii="Arabic Typesetting" w:hAnsi="Arabic Typesetting" w:cs="Arabic Typesetting"/>
          <w:b/>
          <w:bCs/>
          <w:sz w:val="88"/>
          <w:szCs w:val="88"/>
          <w:rtl/>
        </w:rPr>
        <w:t xml:space="preserve"> بعث به رسله إلى الناس كما أرسل معاذ إلى أهل اليمن بالتوحيد[رواه البخاري: 1395]، وأرسل بالتوحيد كتباً إلى الملوك كما أرسل إلى هرقل: أدعوك بدعاء الإسلام أسلم تسلم، يؤتك الله أجرك مرتين[رواه البخاري: 7، ومسلم: 1773].</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علمه</w:t>
      </w:r>
      <w:r w:rsidRPr="00C31732">
        <w:rPr>
          <w:rFonts w:ascii="Arabic Typesetting" w:hAnsi="Arabic Typesetting" w:cs="Arabic Typesetting"/>
          <w:b/>
          <w:bCs/>
          <w:sz w:val="88"/>
          <w:szCs w:val="88"/>
          <w:rtl/>
        </w:rPr>
        <w:t xml:space="preserve"> الوفود كما جاءه وفد علمهم، كما جاء وفد عبد القيس قال: أتدرون ما الإيمان بالله وحده؟ قالوا: الله والرسول أعلم، قال: شهادة أن لا إله إلا الله[رواه البخاري: 53]. وكذلك قاتل النَّاس على التوحيد، أمرت أن أقاتل الناس حتى يقولوا لا إله إلا الله [رواه البخاري: 392، ومسلم 20]. وكذلك بايع  </w:t>
      </w:r>
      <w:r w:rsidRPr="00C31732">
        <w:rPr>
          <w:rFonts w:ascii="Arabic Typesetting" w:hAnsi="Arabic Typesetting" w:cs="Arabic Typesetting"/>
          <w:b/>
          <w:bCs/>
          <w:sz w:val="88"/>
          <w:szCs w:val="88"/>
          <w:rtl/>
        </w:rPr>
        <w:lastRenderedPageBreak/>
        <w:t xml:space="preserve">على التوحيد كما قال جرير: بايَعت رسول الله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على شهادة أن لا إلهَ إلَّا اللهُ وأنَّ مُحَمَّداً رسول الله، وإقام الصلاة، وإيتاء الزكاة، والسمع والطاعة، والنصح لكل مسلم [رواه البخاري: 2157]. وكذلك في سائر شؤونه عليه السلام كان يُرَبِّي أصحابَه على التَّوحيد، وهذه سورة الفاتحة التي يُقرأ بها في الصَّلاة هي توحيد من أولها إلى آخرها، سواء كان توحيد الربوبية أو توحيد الألوهية أو توحيد الأسماء والصفات، وكذلك فإنَّه من تتبَّع الأذكار التي علَّمها </w:t>
      </w:r>
      <w:r w:rsidRPr="00C31732">
        <w:rPr>
          <w:rFonts w:ascii="Arabic Typesetting" w:hAnsi="Arabic Typesetting" w:cs="Arabic Typesetting" w:hint="cs"/>
          <w:b/>
          <w:bCs/>
          <w:sz w:val="88"/>
          <w:szCs w:val="88"/>
          <w:rtl/>
        </w:rPr>
        <w:t>ﷺ</w:t>
      </w:r>
      <w:r w:rsidRPr="00C31732">
        <w:rPr>
          <w:rFonts w:ascii="Arabic Typesetting" w:hAnsi="Arabic Typesetting" w:cs="Arabic Typesetting"/>
          <w:b/>
          <w:bCs/>
          <w:sz w:val="88"/>
          <w:szCs w:val="88"/>
          <w:rtl/>
        </w:rPr>
        <w:t xml:space="preserve"> لأُمته عندما يقومون من النَّوم وعند</w:t>
      </w:r>
      <w:r w:rsidRPr="00C31732">
        <w:rPr>
          <w:rFonts w:ascii="Arabic Typesetting" w:hAnsi="Arabic Typesetting" w:cs="Arabic Typesetting" w:hint="eastAsia"/>
          <w:b/>
          <w:bCs/>
          <w:sz w:val="88"/>
          <w:szCs w:val="88"/>
          <w:rtl/>
        </w:rPr>
        <w:t>ما</w:t>
      </w:r>
      <w:r w:rsidRPr="00C31732">
        <w:rPr>
          <w:rFonts w:ascii="Arabic Typesetting" w:hAnsi="Arabic Typesetting" w:cs="Arabic Typesetting"/>
          <w:b/>
          <w:bCs/>
          <w:sz w:val="88"/>
          <w:szCs w:val="88"/>
          <w:rtl/>
        </w:rPr>
        <w:t xml:space="preserve"> ينامون، وعند طعامهم، وعند كربهم، وعند سفرهم، وعند فطرهم في </w:t>
      </w:r>
      <w:r w:rsidRPr="00C31732">
        <w:rPr>
          <w:rFonts w:ascii="Arabic Typesetting" w:hAnsi="Arabic Typesetting" w:cs="Arabic Typesetting"/>
          <w:b/>
          <w:bCs/>
          <w:sz w:val="88"/>
          <w:szCs w:val="88"/>
          <w:rtl/>
        </w:rPr>
        <w:lastRenderedPageBreak/>
        <w:t>الصيام، وعند المجلس الذي يقومون منه الذي كثر فيه الغلط، وهكذا كلها تُذَكِّر العبد بالتَّوحيد في سائر أذكار اليوم والليلة.</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من</w:t>
      </w:r>
      <w:r w:rsidRPr="00C31732">
        <w:rPr>
          <w:rFonts w:ascii="Arabic Typesetting" w:hAnsi="Arabic Typesetting" w:cs="Arabic Typesetting"/>
          <w:b/>
          <w:bCs/>
          <w:sz w:val="88"/>
          <w:szCs w:val="88"/>
          <w:rtl/>
        </w:rPr>
        <w:t xml:space="preserve"> معاني التَّوحيد</w:t>
      </w:r>
      <w:r w:rsidRPr="00C31732">
        <w:rPr>
          <w:rFonts w:ascii="Arabic Typesetting" w:hAnsi="Arabic Typesetting" w:cs="Arabic Typesetting" w:hint="cs"/>
          <w:b/>
          <w:bCs/>
          <w:sz w:val="88"/>
          <w:szCs w:val="88"/>
          <w:rtl/>
        </w:rPr>
        <w:t xml:space="preserve"> :</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أما</w:t>
      </w:r>
      <w:r w:rsidRPr="00C31732">
        <w:rPr>
          <w:rFonts w:ascii="Arabic Typesetting" w:hAnsi="Arabic Typesetting" w:cs="Arabic Typesetting"/>
          <w:b/>
          <w:bCs/>
          <w:sz w:val="88"/>
          <w:szCs w:val="88"/>
          <w:rtl/>
        </w:rPr>
        <w:t xml:space="preserve"> بالنُّسبة لإطلاق </w:t>
      </w:r>
      <w:proofErr w:type="spellStart"/>
      <w:r w:rsidRPr="00C31732">
        <w:rPr>
          <w:rFonts w:ascii="Arabic Typesetting" w:hAnsi="Arabic Typesetting" w:cs="Arabic Typesetting"/>
          <w:b/>
          <w:bCs/>
          <w:sz w:val="88"/>
          <w:szCs w:val="88"/>
          <w:rtl/>
        </w:rPr>
        <w:t>التّ</w:t>
      </w:r>
      <w:r>
        <w:rPr>
          <w:rFonts w:ascii="Arabic Typesetting" w:hAnsi="Arabic Typesetting" w:cs="Arabic Typesetting"/>
          <w:b/>
          <w:bCs/>
          <w:sz w:val="88"/>
          <w:szCs w:val="88"/>
          <w:rtl/>
        </w:rPr>
        <w:t>َوحيد،</w:t>
      </w:r>
      <w:r w:rsidRPr="00C31732">
        <w:rPr>
          <w:rFonts w:ascii="Arabic Typesetting" w:hAnsi="Arabic Typesetting" w:cs="Arabic Typesetting"/>
          <w:b/>
          <w:bCs/>
          <w:sz w:val="88"/>
          <w:szCs w:val="88"/>
          <w:rtl/>
        </w:rPr>
        <w:t>فإنَّ</w:t>
      </w:r>
      <w:proofErr w:type="spellEnd"/>
      <w:r w:rsidRPr="00C31732">
        <w:rPr>
          <w:rFonts w:ascii="Arabic Typesetting" w:hAnsi="Arabic Typesetting" w:cs="Arabic Typesetting"/>
          <w:b/>
          <w:bCs/>
          <w:sz w:val="88"/>
          <w:szCs w:val="88"/>
          <w:rtl/>
        </w:rPr>
        <w:t xml:space="preserve"> التَّوحيد يُطلَق بعدة إطلاقات:</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فأما</w:t>
      </w:r>
      <w:r w:rsidRPr="00C31732">
        <w:rPr>
          <w:rFonts w:ascii="Arabic Typesetting" w:hAnsi="Arabic Typesetting" w:cs="Arabic Typesetting"/>
          <w:b/>
          <w:bCs/>
          <w:sz w:val="88"/>
          <w:szCs w:val="88"/>
          <w:rtl/>
        </w:rPr>
        <w:t xml:space="preserve"> بالنُّسبة لإطلاق التَّوحيد على الأعمال، فقد يُقسَّم على ثلاثة أقسام: توحيد القلب، وتوحيد العمل، وتوحيد القول.</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توحيد</w:t>
      </w:r>
      <w:r w:rsidRPr="00C31732">
        <w:rPr>
          <w:rFonts w:ascii="Arabic Typesetting" w:hAnsi="Arabic Typesetting" w:cs="Arabic Typesetting"/>
          <w:b/>
          <w:bCs/>
          <w:sz w:val="88"/>
          <w:szCs w:val="88"/>
          <w:rtl/>
        </w:rPr>
        <w:t xml:space="preserve"> القلب</w:t>
      </w:r>
      <w:r w:rsidRPr="00C31732">
        <w:rPr>
          <w:rFonts w:ascii="Arabic Typesetting" w:hAnsi="Arabic Typesetting" w:cs="Arabic Typesetting" w:hint="cs"/>
          <w:b/>
          <w:bCs/>
          <w:sz w:val="88"/>
          <w:szCs w:val="88"/>
          <w:rtl/>
        </w:rPr>
        <w:t xml:space="preserve"> :</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وإذا</w:t>
      </w:r>
      <w:r w:rsidRPr="00C31732">
        <w:rPr>
          <w:rFonts w:ascii="Arabic Typesetting" w:hAnsi="Arabic Typesetting" w:cs="Arabic Typesetting"/>
          <w:b/>
          <w:bCs/>
          <w:sz w:val="88"/>
          <w:szCs w:val="88"/>
          <w:rtl/>
        </w:rPr>
        <w:t xml:space="preserve"> قلت أنَّ توحيد القلب ينقسم إلى: قول القلب، وعمل القلب، فقول القَلب: هو التصديق، وعمل القلب: هو الحب والخضوع </w:t>
      </w:r>
      <w:r w:rsidRPr="00C31732">
        <w:rPr>
          <w:rFonts w:ascii="Arabic Typesetting" w:hAnsi="Arabic Typesetting" w:cs="Arabic Typesetting"/>
          <w:b/>
          <w:bCs/>
          <w:sz w:val="88"/>
          <w:szCs w:val="88"/>
          <w:rtl/>
        </w:rPr>
        <w:lastRenderedPageBreak/>
        <w:t>والانقياد والمحبة والرجاء والحياء وغير ذلك، فيكون توحيد القلب قولاً وعملاً، وبَقِي تَوحيد الجوارح، فإذا قلت توحيد القلب، أو توحيد القول، أو توح</w:t>
      </w:r>
      <w:r w:rsidRPr="00C31732">
        <w:rPr>
          <w:rFonts w:ascii="Arabic Typesetting" w:hAnsi="Arabic Typesetting" w:cs="Arabic Typesetting" w:hint="eastAsia"/>
          <w:b/>
          <w:bCs/>
          <w:sz w:val="88"/>
          <w:szCs w:val="88"/>
          <w:rtl/>
        </w:rPr>
        <w:t>يد</w:t>
      </w:r>
      <w:r w:rsidRPr="00C31732">
        <w:rPr>
          <w:rFonts w:ascii="Arabic Typesetting" w:hAnsi="Arabic Typesetting" w:cs="Arabic Typesetting"/>
          <w:b/>
          <w:bCs/>
          <w:sz w:val="88"/>
          <w:szCs w:val="88"/>
          <w:rtl/>
        </w:rPr>
        <w:t xml:space="preserve"> العمل: هذا أيضاً واضحٌ وسائغٌ ولا بأس به، وقلنا: توحيد القلب يكون بالتصديق قولاً قول القلب، وعمل القلب يكون بالحب والخوف والرجاء ونحو ذلك، وأما تَوحيد العمل بالجوارح قُلْ إِنَّ صَلاتِي وَنُسُكِي وَمَحْيَايَ وَمَمَاتِي لِلَّهِ رَبِّ الْعَالَمِينَ</w:t>
      </w:r>
      <w:r w:rsidRPr="0083086F">
        <w:rPr>
          <w:rFonts w:ascii="Arabic Typesetting" w:hAnsi="Arabic Typesetting" w:cs="Arabic Typesetting"/>
          <w:b/>
          <w:bCs/>
          <w:sz w:val="70"/>
          <w:szCs w:val="70"/>
          <w:rtl/>
        </w:rPr>
        <w:t>[الأنعام: 162]</w:t>
      </w:r>
      <w:r w:rsidRPr="00C31732">
        <w:rPr>
          <w:rFonts w:ascii="Arabic Typesetting" w:hAnsi="Arabic Typesetting" w:cs="Arabic Typesetting"/>
          <w:b/>
          <w:bCs/>
          <w:sz w:val="88"/>
          <w:szCs w:val="88"/>
          <w:rtl/>
        </w:rPr>
        <w:t>. فَصَلِّ لِرَبِّكَ وَانْحَرْ[الكوثر: 2]. توحيد بأعمال الجوارح.</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هل</w:t>
      </w:r>
      <w:r w:rsidRPr="00C31732">
        <w:rPr>
          <w:rFonts w:ascii="Arabic Typesetting" w:hAnsi="Arabic Typesetting" w:cs="Arabic Typesetting"/>
          <w:b/>
          <w:bCs/>
          <w:sz w:val="88"/>
          <w:szCs w:val="88"/>
          <w:rtl/>
        </w:rPr>
        <w:t xml:space="preserve"> ممكن نقول: أن التوحيد ينقسم إلى توحيد قول وتوحيد عمل؟ ممكن أيضاً، وتفصيلاً </w:t>
      </w:r>
      <w:r w:rsidRPr="00C31732">
        <w:rPr>
          <w:rFonts w:ascii="Arabic Typesetting" w:hAnsi="Arabic Typesetting" w:cs="Arabic Typesetting"/>
          <w:b/>
          <w:bCs/>
          <w:sz w:val="88"/>
          <w:szCs w:val="88"/>
          <w:rtl/>
        </w:rPr>
        <w:lastRenderedPageBreak/>
        <w:t xml:space="preserve">يكون أربعة، توحيد القول باللسان، وتوحيد القول بالقلب، توحيد العمل بالقلب، توحيد العمل بالجوارح، وهذه الأقسام متلازمة لا ينفَك بعضها عن بعض، ولا يمكن لشخص أنَّ يوحِّد بجوارحه وهو </w:t>
      </w:r>
      <w:r w:rsidRPr="00C31732">
        <w:rPr>
          <w:rFonts w:ascii="Arabic Typesetting" w:hAnsi="Arabic Typesetting" w:cs="Arabic Typesetting" w:hint="eastAsia"/>
          <w:b/>
          <w:bCs/>
          <w:sz w:val="88"/>
          <w:szCs w:val="88"/>
          <w:rtl/>
        </w:rPr>
        <w:t>مشرك</w:t>
      </w:r>
      <w:r w:rsidRPr="00C31732">
        <w:rPr>
          <w:rFonts w:ascii="Arabic Typesetting" w:hAnsi="Arabic Typesetting" w:cs="Arabic Typesetting"/>
          <w:b/>
          <w:bCs/>
          <w:sz w:val="88"/>
          <w:szCs w:val="88"/>
          <w:rtl/>
        </w:rPr>
        <w:t xml:space="preserve"> ويصلي.</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توحيد</w:t>
      </w:r>
      <w:r w:rsidRPr="00C31732">
        <w:rPr>
          <w:rFonts w:ascii="Arabic Typesetting" w:hAnsi="Arabic Typesetting" w:cs="Arabic Typesetting"/>
          <w:b/>
          <w:bCs/>
          <w:sz w:val="88"/>
          <w:szCs w:val="88"/>
          <w:rtl/>
        </w:rPr>
        <w:t xml:space="preserve"> المعرفة والاثبات</w:t>
      </w:r>
      <w:r w:rsidRPr="00C31732">
        <w:rPr>
          <w:rFonts w:ascii="Arabic Typesetting" w:hAnsi="Arabic Typesetting" w:cs="Arabic Typesetting" w:hint="cs"/>
          <w:b/>
          <w:bCs/>
          <w:sz w:val="88"/>
          <w:szCs w:val="88"/>
          <w:rtl/>
        </w:rPr>
        <w:t xml:space="preserve"> :</w:t>
      </w:r>
    </w:p>
    <w:p w:rsidR="00186559" w:rsidRPr="00C31732" w:rsidRDefault="00186559" w:rsidP="00186559">
      <w:pPr>
        <w:rPr>
          <w:rFonts w:ascii="Arabic Typesetting" w:hAnsi="Arabic Typesetting" w:cs="Arabic Typesetting"/>
          <w:b/>
          <w:bCs/>
          <w:sz w:val="88"/>
          <w:szCs w:val="88"/>
          <w:rtl/>
        </w:rPr>
      </w:pPr>
      <w:r w:rsidRPr="00C31732">
        <w:rPr>
          <w:rFonts w:ascii="Arabic Typesetting" w:hAnsi="Arabic Typesetting" w:cs="Arabic Typesetting" w:hint="eastAsia"/>
          <w:b/>
          <w:bCs/>
          <w:sz w:val="88"/>
          <w:szCs w:val="88"/>
          <w:rtl/>
        </w:rPr>
        <w:t>وكذلك</w:t>
      </w:r>
      <w:r w:rsidRPr="00C31732">
        <w:rPr>
          <w:rFonts w:ascii="Arabic Typesetting" w:hAnsi="Arabic Typesetting" w:cs="Arabic Typesetting"/>
          <w:b/>
          <w:bCs/>
          <w:sz w:val="88"/>
          <w:szCs w:val="88"/>
          <w:rtl/>
        </w:rPr>
        <w:t xml:space="preserve"> يمكن أن يُقسَّم التَّوحيد من جهة أخرى من النَّاحية اللفظية إلى توحيد في المعرفة والإثبات، وتوحيد في القَصد والطَلب، فيكون التَّوحيد: توحيد المعرفة والإثبات شاملاً لتوحيد اللسان، وهو قول اللسان، وللبعض توحيد القلب وهو التصديق، وتوحيد القصد والطلب كذلك توحيد القصد </w:t>
      </w:r>
      <w:r w:rsidRPr="00C31732">
        <w:rPr>
          <w:rFonts w:ascii="Arabic Typesetting" w:hAnsi="Arabic Typesetting" w:cs="Arabic Typesetting"/>
          <w:b/>
          <w:bCs/>
          <w:sz w:val="88"/>
          <w:szCs w:val="88"/>
          <w:rtl/>
        </w:rPr>
        <w:lastRenderedPageBreak/>
        <w:t>والطلب شاملاً لبعض توحيد القلب ولأعمال الجوارح.</w:t>
      </w:r>
    </w:p>
    <w:p w:rsidR="00186559" w:rsidRDefault="00186559" w:rsidP="00186559">
      <w:pPr>
        <w:rPr>
          <w:rFonts w:ascii="Arabic Typesetting" w:hAnsi="Arabic Typesetting" w:cs="Arabic Typesetting" w:hint="cs"/>
          <w:b/>
          <w:bCs/>
          <w:sz w:val="88"/>
          <w:szCs w:val="88"/>
          <w:rtl/>
        </w:rPr>
      </w:pPr>
      <w:r w:rsidRPr="00C31732">
        <w:rPr>
          <w:rFonts w:ascii="Arabic Typesetting" w:hAnsi="Arabic Typesetting" w:cs="Arabic Typesetting" w:hint="eastAsia"/>
          <w:b/>
          <w:bCs/>
          <w:sz w:val="88"/>
          <w:szCs w:val="88"/>
          <w:rtl/>
        </w:rPr>
        <w:t>ممكن</w:t>
      </w:r>
      <w:r w:rsidRPr="00C31732">
        <w:rPr>
          <w:rFonts w:ascii="Arabic Typesetting" w:hAnsi="Arabic Typesetting" w:cs="Arabic Typesetting"/>
          <w:b/>
          <w:bCs/>
          <w:sz w:val="88"/>
          <w:szCs w:val="88"/>
          <w:rtl/>
        </w:rPr>
        <w:t xml:space="preserve"> نقسم التوحيد أيضاً باعتبار آخر فنقول: توحيد الله بأفعاله، وتوحيد الله بأفعال المكلفين، فتوحيد الله بأفعاله وكماله وأسمائه وصفاته، وتوحيد الله بأفعال المُكَلَّفين، مثل: صلاتنا، نذرنا له فقط، وهكذا.</w:t>
      </w:r>
      <w:r>
        <w:rPr>
          <w:rFonts w:ascii="Arabic Typesetting" w:hAnsi="Arabic Typesetting" w:cs="Arabic Typesetting" w:hint="cs"/>
          <w:b/>
          <w:bCs/>
          <w:sz w:val="88"/>
          <w:szCs w:val="88"/>
          <w:rtl/>
        </w:rPr>
        <w:t xml:space="preserve"> </w:t>
      </w:r>
      <w:r w:rsidRPr="00C31732">
        <w:rPr>
          <w:rFonts w:ascii="Arabic Typesetting" w:hAnsi="Arabic Typesetting" w:cs="Arabic Typesetting" w:hint="eastAsia"/>
          <w:b/>
          <w:bCs/>
          <w:sz w:val="88"/>
          <w:szCs w:val="88"/>
          <w:rtl/>
        </w:rPr>
        <w:t>ممكن</w:t>
      </w:r>
      <w:r w:rsidRPr="00C31732">
        <w:rPr>
          <w:rFonts w:ascii="Arabic Typesetting" w:hAnsi="Arabic Typesetting" w:cs="Arabic Typesetting"/>
          <w:b/>
          <w:bCs/>
          <w:sz w:val="88"/>
          <w:szCs w:val="88"/>
          <w:rtl/>
        </w:rPr>
        <w:t xml:space="preserve"> يُقسم التوحيد باعتبار آخر: توحيد الربوبية، توحيد الألوهية، توحيد الأسماء والصفات.</w:t>
      </w:r>
    </w:p>
    <w:p w:rsidR="00186559" w:rsidRPr="0083086F" w:rsidRDefault="00186559" w:rsidP="00186559">
      <w:pPr>
        <w:rPr>
          <w:rFonts w:ascii="Arabic Typesetting" w:hAnsi="Arabic Typesetting" w:cs="Arabic Typesetting"/>
          <w:b/>
          <w:bCs/>
          <w:sz w:val="88"/>
          <w:szCs w:val="88"/>
          <w:rtl/>
        </w:rPr>
      </w:pPr>
      <w:r w:rsidRPr="0083086F">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3BE" w:rsidRDefault="00F363BE" w:rsidP="00186559">
      <w:r>
        <w:separator/>
      </w:r>
    </w:p>
  </w:endnote>
  <w:endnote w:type="continuationSeparator" w:id="0">
    <w:p w:rsidR="00F363BE" w:rsidRDefault="00F363BE" w:rsidP="0018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1819135"/>
      <w:docPartObj>
        <w:docPartGallery w:val="Page Numbers (Bottom of Page)"/>
        <w:docPartUnique/>
      </w:docPartObj>
    </w:sdtPr>
    <w:sdtContent>
      <w:p w:rsidR="00186559" w:rsidRDefault="00186559">
        <w:pPr>
          <w:pStyle w:val="a4"/>
          <w:jc w:val="center"/>
        </w:pPr>
        <w:r>
          <w:fldChar w:fldCharType="begin"/>
        </w:r>
        <w:r>
          <w:instrText>PAGE   \* MERGEFORMAT</w:instrText>
        </w:r>
        <w:r>
          <w:fldChar w:fldCharType="separate"/>
        </w:r>
        <w:r w:rsidRPr="00186559">
          <w:rPr>
            <w:noProof/>
            <w:rtl/>
            <w:lang w:val="ar-SA"/>
          </w:rPr>
          <w:t>7</w:t>
        </w:r>
        <w:r>
          <w:fldChar w:fldCharType="end"/>
        </w:r>
      </w:p>
    </w:sdtContent>
  </w:sdt>
  <w:p w:rsidR="00186559" w:rsidRDefault="0018655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3BE" w:rsidRDefault="00F363BE" w:rsidP="00186559">
      <w:r>
        <w:separator/>
      </w:r>
    </w:p>
  </w:footnote>
  <w:footnote w:type="continuationSeparator" w:id="0">
    <w:p w:rsidR="00F363BE" w:rsidRDefault="00F363BE" w:rsidP="00186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59"/>
    <w:rsid w:val="00186559"/>
    <w:rsid w:val="005C0A3D"/>
    <w:rsid w:val="005C0EBC"/>
    <w:rsid w:val="00F363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5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559"/>
    <w:pPr>
      <w:tabs>
        <w:tab w:val="center" w:pos="4153"/>
        <w:tab w:val="right" w:pos="8306"/>
      </w:tabs>
    </w:pPr>
  </w:style>
  <w:style w:type="character" w:customStyle="1" w:styleId="Char">
    <w:name w:val="رأس الصفحة Char"/>
    <w:basedOn w:val="a0"/>
    <w:link w:val="a3"/>
    <w:uiPriority w:val="99"/>
    <w:rsid w:val="00186559"/>
    <w:rPr>
      <w:rFonts w:ascii="Times New Roman" w:eastAsia="Times New Roman" w:hAnsi="Times New Roman" w:cs="Times New Roman"/>
      <w:sz w:val="24"/>
      <w:szCs w:val="24"/>
    </w:rPr>
  </w:style>
  <w:style w:type="paragraph" w:styleId="a4">
    <w:name w:val="footer"/>
    <w:basedOn w:val="a"/>
    <w:link w:val="Char0"/>
    <w:uiPriority w:val="99"/>
    <w:unhideWhenUsed/>
    <w:rsid w:val="00186559"/>
    <w:pPr>
      <w:tabs>
        <w:tab w:val="center" w:pos="4153"/>
        <w:tab w:val="right" w:pos="8306"/>
      </w:tabs>
    </w:pPr>
  </w:style>
  <w:style w:type="character" w:customStyle="1" w:styleId="Char0">
    <w:name w:val="تذييل الصفحة Char"/>
    <w:basedOn w:val="a0"/>
    <w:link w:val="a4"/>
    <w:uiPriority w:val="99"/>
    <w:rsid w:val="0018655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5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6559"/>
    <w:pPr>
      <w:tabs>
        <w:tab w:val="center" w:pos="4153"/>
        <w:tab w:val="right" w:pos="8306"/>
      </w:tabs>
    </w:pPr>
  </w:style>
  <w:style w:type="character" w:customStyle="1" w:styleId="Char">
    <w:name w:val="رأس الصفحة Char"/>
    <w:basedOn w:val="a0"/>
    <w:link w:val="a3"/>
    <w:uiPriority w:val="99"/>
    <w:rsid w:val="00186559"/>
    <w:rPr>
      <w:rFonts w:ascii="Times New Roman" w:eastAsia="Times New Roman" w:hAnsi="Times New Roman" w:cs="Times New Roman"/>
      <w:sz w:val="24"/>
      <w:szCs w:val="24"/>
    </w:rPr>
  </w:style>
  <w:style w:type="paragraph" w:styleId="a4">
    <w:name w:val="footer"/>
    <w:basedOn w:val="a"/>
    <w:link w:val="Char0"/>
    <w:uiPriority w:val="99"/>
    <w:unhideWhenUsed/>
    <w:rsid w:val="00186559"/>
    <w:pPr>
      <w:tabs>
        <w:tab w:val="center" w:pos="4153"/>
        <w:tab w:val="right" w:pos="8306"/>
      </w:tabs>
    </w:pPr>
  </w:style>
  <w:style w:type="character" w:customStyle="1" w:styleId="Char0">
    <w:name w:val="تذييل الصفحة Char"/>
    <w:basedOn w:val="a0"/>
    <w:link w:val="a4"/>
    <w:uiPriority w:val="99"/>
    <w:rsid w:val="001865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511</Words>
  <Characters>2916</Characters>
  <Application>Microsoft Office Word</Application>
  <DocSecurity>0</DocSecurity>
  <Lines>24</Lines>
  <Paragraphs>6</Paragraphs>
  <ScaleCrop>false</ScaleCrop>
  <Company>Ahmed-Under</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2023-02-15T05:17:00Z</dcterms:created>
  <dcterms:modified xsi:type="dcterms:W3CDTF">2023-02-15T05:17:00Z</dcterms:modified>
</cp:coreProperties>
</file>