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76" w:rsidRPr="00C31732" w:rsidRDefault="00592C76" w:rsidP="00592C76">
      <w:pPr>
        <w:rPr>
          <w:rFonts w:ascii="Arabic Typesetting" w:hAnsi="Arabic Typesetting" w:cs="Arabic Typesetting" w:hint="cs"/>
          <w:b/>
          <w:bCs/>
          <w:sz w:val="88"/>
          <w:szCs w:val="88"/>
          <w:rtl/>
        </w:rPr>
      </w:pPr>
      <w:r w:rsidRPr="00C31732">
        <w:rPr>
          <w:rFonts w:ascii="Arabic Typesetting" w:hAnsi="Arabic Typesetting" w:cs="Arabic Typesetting" w:hint="cs"/>
          <w:b/>
          <w:bCs/>
          <w:sz w:val="88"/>
          <w:szCs w:val="88"/>
          <w:rtl/>
        </w:rPr>
        <w:t>بسم الله والحمد لله والصلاة والسلام على رسول الله وبعد :</w:t>
      </w:r>
    </w:p>
    <w:p w:rsidR="00592C76" w:rsidRPr="00C31732" w:rsidRDefault="00592C76" w:rsidP="00592C76">
      <w:pPr>
        <w:rPr>
          <w:rFonts w:ascii="Arabic Typesetting" w:hAnsi="Arabic Typesetting" w:cs="Arabic Typesetting" w:hint="cs"/>
          <w:b/>
          <w:bCs/>
          <w:sz w:val="88"/>
          <w:szCs w:val="88"/>
          <w:rtl/>
        </w:rPr>
      </w:pPr>
      <w:r w:rsidRPr="00C31732">
        <w:rPr>
          <w:rFonts w:ascii="Arabic Typesetting" w:hAnsi="Arabic Typesetting" w:cs="Arabic Typesetting" w:hint="cs"/>
          <w:b/>
          <w:bCs/>
          <w:sz w:val="88"/>
          <w:szCs w:val="88"/>
          <w:rtl/>
        </w:rPr>
        <w:t>فهذه الحلقة الثانية في موضوع (الواحد الأحد) من اسماء الله الحسنى وصفاته وهي بعنوان : المقدمة :</w:t>
      </w:r>
    </w:p>
    <w:p w:rsidR="00592C76" w:rsidRPr="00C31732" w:rsidRDefault="00592C76" w:rsidP="00592C76">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t>8- أنَّ أسماءَ الله تعالى وصفاته تنضمُّ دَلاليًّا في حقول، كحقل العِلم والقُدرة والرحمة، بينما ينفردُ كلُّ اسم منها بمعنًى ليس في غيره مما يقاربه في حقلِه الدلالي، ولا سائر الأسماء والصفات، والترادُف منفيٌّ بينها سواء في الدَّلالة الصرفية والدَّلالة اللُّغوية.</w:t>
      </w:r>
    </w:p>
    <w:p w:rsidR="00592C76" w:rsidRPr="00C31732" w:rsidRDefault="00592C76" w:rsidP="00592C76">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t xml:space="preserve">9- أنَّ ما يُوصَف به الله تعالى مما يَسْمح به الشَّرع ثلاثة: الأسماء والصفات والأخبار، </w:t>
      </w:r>
      <w:r w:rsidRPr="00C31732">
        <w:rPr>
          <w:rFonts w:ascii="Arabic Typesetting" w:hAnsi="Arabic Typesetting" w:cs="Arabic Typesetting"/>
          <w:b/>
          <w:bCs/>
          <w:sz w:val="88"/>
          <w:szCs w:val="88"/>
          <w:rtl/>
        </w:rPr>
        <w:lastRenderedPageBreak/>
        <w:t>والأسماء أخصُّ من الصفات، والصفاتُ أخصُّ من الأخبار، وهذه جميعًا مبنيَّة على كونها تدلُّ دلالاتٍ لائقةً به تعالى.</w:t>
      </w:r>
    </w:p>
    <w:p w:rsidR="00592C76" w:rsidRDefault="00592C76" w:rsidP="00592C76">
      <w:pPr>
        <w:rPr>
          <w:rFonts w:ascii="Arabic Typesetting" w:hAnsi="Arabic Typesetting" w:cs="Arabic Typesetting" w:hint="cs"/>
          <w:b/>
          <w:bCs/>
          <w:sz w:val="88"/>
          <w:szCs w:val="88"/>
          <w:rtl/>
        </w:rPr>
      </w:pPr>
      <w:r w:rsidRPr="00C31732">
        <w:rPr>
          <w:rFonts w:ascii="Arabic Typesetting" w:hAnsi="Arabic Typesetting" w:cs="Arabic Typesetting"/>
          <w:b/>
          <w:bCs/>
          <w:sz w:val="88"/>
          <w:szCs w:val="88"/>
          <w:rtl/>
        </w:rPr>
        <w:t xml:space="preserve">10- أنَّ أسماءَ الله تعالى وصفاتِه توقيفية، فلا ينبغي لأحدٍ أن يسميَّه أو يصفَه بغير ما ورد في مصادرِ الشرع من كتاب وسُنة، وهذا أمرٌ مُراعًى وجوبًا؛ لأنَّ إطلاق لفظ لم يرد به الشرع قد يحتمل دلالةً لا تليق بالله تعالى، وأنَّ التوقيف في التفسير كما هو </w:t>
      </w:r>
    </w:p>
    <w:p w:rsidR="00592C76" w:rsidRPr="00C31732" w:rsidRDefault="00592C76" w:rsidP="00592C76">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t>في الإطلاق.</w:t>
      </w:r>
    </w:p>
    <w:p w:rsidR="00592C76" w:rsidRPr="00C31732" w:rsidRDefault="00592C76" w:rsidP="00592C76">
      <w:pPr>
        <w:rPr>
          <w:rFonts w:ascii="Arabic Typesetting" w:hAnsi="Arabic Typesetting" w:cs="Arabic Typesetting" w:hint="cs"/>
          <w:b/>
          <w:bCs/>
          <w:sz w:val="88"/>
          <w:szCs w:val="88"/>
          <w:rtl/>
        </w:rPr>
      </w:pPr>
      <w:r w:rsidRPr="00C31732">
        <w:rPr>
          <w:rFonts w:ascii="Arabic Typesetting" w:hAnsi="Arabic Typesetting" w:cs="Arabic Typesetting"/>
          <w:b/>
          <w:bCs/>
          <w:sz w:val="88"/>
          <w:szCs w:val="88"/>
          <w:rtl/>
        </w:rPr>
        <w:t xml:space="preserve">11- أنَّ الإخبار عنه تعالى يتوسَّع فيه مع مراعاةِ اختيار اللائق به، واعتقاد أنَّ الإخبار عنه ليس مِن أسمائه وصفاته </w:t>
      </w:r>
    </w:p>
    <w:p w:rsidR="00592C76" w:rsidRPr="00C31732" w:rsidRDefault="00592C76" w:rsidP="00592C76">
      <w:pPr>
        <w:rPr>
          <w:rFonts w:ascii="Arabic Typesetting" w:hAnsi="Arabic Typesetting" w:cs="Arabic Typesetting" w:hint="cs"/>
          <w:b/>
          <w:bCs/>
          <w:sz w:val="88"/>
          <w:szCs w:val="88"/>
          <w:rtl/>
        </w:rPr>
      </w:pPr>
      <w:r w:rsidRPr="00C31732">
        <w:rPr>
          <w:rFonts w:ascii="Arabic Typesetting" w:hAnsi="Arabic Typesetting" w:cs="Arabic Typesetting"/>
          <w:b/>
          <w:bCs/>
          <w:sz w:val="88"/>
          <w:szCs w:val="88"/>
          <w:rtl/>
        </w:rPr>
        <w:lastRenderedPageBreak/>
        <w:t xml:space="preserve">الثابتة اللازمة، ويَرِد من الأخبار على لسان العامَّة ما يليق وما لا يليق، فالأوَّل كقولهم: الله حلاَّل العُقَد، وذلك عندَ </w:t>
      </w:r>
    </w:p>
    <w:p w:rsidR="00592C76" w:rsidRPr="00C31732" w:rsidRDefault="00592C76" w:rsidP="00592C76">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t>الشدائد، ولا بأس به؛ فالله تعالى بيده الحلُّ والعقد، والثاني كقولهم: الله يعرِف كذا، بدلاً مِن "يعلم"، ولا يليق؛ لكونِ المعرفة أنقصَ من العلم في الكمِّ والكيف.</w:t>
      </w:r>
    </w:p>
    <w:p w:rsidR="00592C76" w:rsidRPr="00C31732" w:rsidRDefault="00592C76" w:rsidP="00592C76">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t>12- أنَّ أسماء الله تعالى غيرُ محصورةٍ في التِّسعة والتسعين، ودلَّ على ذلك دليلُ اللغة والعقل والشَّرع، وهذا يعني القولَ بالزيادة، ويمنع القولَ بالنقصان؛ لأنَّ المعنى تخصيصُ هذا العدد مِن جملة الأسماء.</w:t>
      </w:r>
    </w:p>
    <w:p w:rsidR="00592C76" w:rsidRPr="00C31732" w:rsidRDefault="00592C76" w:rsidP="00592C76">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lastRenderedPageBreak/>
        <w:t>13- أنَّ التكليف الشرعي في الأسماء والصفات الإلهية ورَدَ بحفظ الأسماء نوعَيْن مِن الحفظ: الاستظهار، ومنه العدُّ، والعمل، ومِن طرائقه التخلُّق بمعانيها، والدُّعاء بها، وكل ذلك مع عدم البحْث عن كيفية الصِّفة.</w:t>
      </w:r>
    </w:p>
    <w:p w:rsidR="00592C76" w:rsidRPr="00C31732" w:rsidRDefault="00592C76" w:rsidP="00592C76">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t xml:space="preserve">14- أنَّ الأسماء والصفات الإلهية منها ما دَلالته لازمةٌ، ومنها ما دَلالته متعدية، والاسمُ المتعدي يدلُّ على الذاتِ الإلهية، والصِّفةِ التي اشْتُقَّ منها، والأثرِ الذي </w:t>
      </w:r>
      <w:proofErr w:type="spellStart"/>
      <w:r w:rsidRPr="00C31732">
        <w:rPr>
          <w:rFonts w:ascii="Arabic Typesetting" w:hAnsi="Arabic Typesetting" w:cs="Arabic Typesetting"/>
          <w:b/>
          <w:bCs/>
          <w:sz w:val="88"/>
          <w:szCs w:val="88"/>
          <w:rtl/>
        </w:rPr>
        <w:t>تقتضيه</w:t>
      </w:r>
      <w:proofErr w:type="spellEnd"/>
      <w:r w:rsidRPr="00C31732">
        <w:rPr>
          <w:rFonts w:ascii="Arabic Typesetting" w:hAnsi="Arabic Typesetting" w:cs="Arabic Typesetting"/>
          <w:b/>
          <w:bCs/>
          <w:sz w:val="88"/>
          <w:szCs w:val="88"/>
          <w:rtl/>
        </w:rPr>
        <w:t xml:space="preserve"> هذه الصِّفة، وهذه الدَّلالةُ ثلاثة أنواع: المطابقة والتضمُّن واللزوم.</w:t>
      </w:r>
    </w:p>
    <w:p w:rsidR="00592C76" w:rsidRDefault="00592C76" w:rsidP="00592C76">
      <w:pPr>
        <w:rPr>
          <w:rFonts w:ascii="Arabic Typesetting" w:hAnsi="Arabic Typesetting" w:cs="Arabic Typesetting" w:hint="cs"/>
          <w:b/>
          <w:bCs/>
          <w:sz w:val="88"/>
          <w:szCs w:val="88"/>
          <w:rtl/>
        </w:rPr>
      </w:pPr>
      <w:r w:rsidRPr="00C31732">
        <w:rPr>
          <w:rFonts w:ascii="Arabic Typesetting" w:hAnsi="Arabic Typesetting" w:cs="Arabic Typesetting"/>
          <w:b/>
          <w:bCs/>
          <w:sz w:val="88"/>
          <w:szCs w:val="88"/>
          <w:rtl/>
        </w:rPr>
        <w:t xml:space="preserve">15- أنَّ الكمالَ الإلهي صفةٌ من الصفات جامعة، وثبوت الكمال </w:t>
      </w:r>
    </w:p>
    <w:p w:rsidR="00592C76" w:rsidRPr="00C31732" w:rsidRDefault="00592C76" w:rsidP="00592C76">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lastRenderedPageBreak/>
        <w:t>الأعْلى لله تعالى، دلَّ عليه كلُّ طريق: السمع والعقل والفِطرة، وأنَّ الأسماء والصفات جاءتْ مجيءَ التفصيل لهذا الكمال، ومِن خصائصها الدالة على ذلك: الكثرة والثبات، وجريانها على مقتضى الحِكمة، وتضمُّن بعضِها لبعض، واقترانها وفاعليتها.</w:t>
      </w:r>
    </w:p>
    <w:p w:rsidR="00592C76" w:rsidRPr="00C31732" w:rsidRDefault="00592C76" w:rsidP="00592C76">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t>16- أنَّ الله تعالى يختصُّ ببعضِ الأسماء والصفات دون خلْقه، كصِفة الألوهيَّة والربوبيَّة، واسم "الرحمن"، و"ملك الملوك"، وكذلك يختصُّ بإطلاق الأسماء مُعرَّفة بلام التعريف، فلا يجوز إطلاقُ اسمٍ كالقوي أو العزيز - مثلاً - على أحدٍ إلا على سبيلِ الوصف، لا التسمِّي.</w:t>
      </w:r>
    </w:p>
    <w:p w:rsidR="00592C76" w:rsidRPr="00C31732" w:rsidRDefault="00592C76" w:rsidP="00592C76">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lastRenderedPageBreak/>
        <w:t xml:space="preserve">17- أنَّ مِن الأسماء والصفات ما يُعتبَر إطلاقه على الله تعالى كمالاً، وإطلاقه على الخَلْق نقصًا، وهذا كصِفة التكبُّر، واسمه تعالى المتكبِّر، وأنَّ منها العكس؛ أي: هي في </w:t>
      </w:r>
      <w:r>
        <w:rPr>
          <w:rFonts w:ascii="Arabic Typesetting" w:hAnsi="Arabic Typesetting" w:cs="Arabic Typesetting"/>
          <w:b/>
          <w:bCs/>
          <w:sz w:val="88"/>
          <w:szCs w:val="88"/>
          <w:rtl/>
        </w:rPr>
        <w:t xml:space="preserve">حقِّ الله تعالى نقصٌ يتنزه </w:t>
      </w:r>
      <w:proofErr w:type="spellStart"/>
      <w:r>
        <w:rPr>
          <w:rFonts w:ascii="Arabic Typesetting" w:hAnsi="Arabic Typesetting" w:cs="Arabic Typesetting"/>
          <w:b/>
          <w:bCs/>
          <w:sz w:val="88"/>
          <w:szCs w:val="88"/>
          <w:rtl/>
        </w:rPr>
        <w:t>عنه،</w:t>
      </w:r>
      <w:r w:rsidRPr="00C31732">
        <w:rPr>
          <w:rFonts w:ascii="Arabic Typesetting" w:hAnsi="Arabic Typesetting" w:cs="Arabic Typesetting"/>
          <w:b/>
          <w:bCs/>
          <w:sz w:val="88"/>
          <w:szCs w:val="88"/>
          <w:rtl/>
        </w:rPr>
        <w:t>بينما</w:t>
      </w:r>
      <w:proofErr w:type="spellEnd"/>
      <w:r w:rsidRPr="00C31732">
        <w:rPr>
          <w:rFonts w:ascii="Arabic Typesetting" w:hAnsi="Arabic Typesetting" w:cs="Arabic Typesetting"/>
          <w:b/>
          <w:bCs/>
          <w:sz w:val="88"/>
          <w:szCs w:val="88"/>
          <w:rtl/>
        </w:rPr>
        <w:t xml:space="preserve"> هي في حقِّ الخلق</w:t>
      </w:r>
      <w:r>
        <w:rPr>
          <w:rFonts w:ascii="Arabic Typesetting" w:hAnsi="Arabic Typesetting" w:cs="Arabic Typesetting"/>
          <w:b/>
          <w:bCs/>
          <w:sz w:val="88"/>
          <w:szCs w:val="88"/>
          <w:rtl/>
        </w:rPr>
        <w:t xml:space="preserve"> </w:t>
      </w:r>
      <w:proofErr w:type="spellStart"/>
      <w:r>
        <w:rPr>
          <w:rFonts w:ascii="Arabic Typesetting" w:hAnsi="Arabic Typesetting" w:cs="Arabic Typesetting"/>
          <w:b/>
          <w:bCs/>
          <w:sz w:val="88"/>
          <w:szCs w:val="88"/>
          <w:rtl/>
        </w:rPr>
        <w:t>كمال،</w:t>
      </w:r>
      <w:r w:rsidRPr="00C31732">
        <w:rPr>
          <w:rFonts w:ascii="Arabic Typesetting" w:hAnsi="Arabic Typesetting" w:cs="Arabic Typesetting"/>
          <w:b/>
          <w:bCs/>
          <w:sz w:val="88"/>
          <w:szCs w:val="88"/>
          <w:rtl/>
        </w:rPr>
        <w:t>كصِفة</w:t>
      </w:r>
      <w:proofErr w:type="spellEnd"/>
      <w:r w:rsidRPr="00C31732">
        <w:rPr>
          <w:rFonts w:ascii="Arabic Typesetting" w:hAnsi="Arabic Typesetting" w:cs="Arabic Typesetting"/>
          <w:b/>
          <w:bCs/>
          <w:sz w:val="88"/>
          <w:szCs w:val="88"/>
          <w:rtl/>
        </w:rPr>
        <w:t xml:space="preserve"> الطعام والشراب والعافية.</w:t>
      </w:r>
    </w:p>
    <w:p w:rsidR="00592C76" w:rsidRPr="00C54495" w:rsidRDefault="00592C76" w:rsidP="00592C76">
      <w:pPr>
        <w:rPr>
          <w:rFonts w:ascii="Arabic Typesetting" w:hAnsi="Arabic Typesetting" w:cs="Arabic Typesetting"/>
          <w:b/>
          <w:bCs/>
          <w:sz w:val="78"/>
          <w:szCs w:val="78"/>
          <w:rtl/>
        </w:rPr>
      </w:pPr>
      <w:r w:rsidRPr="00C31732">
        <w:rPr>
          <w:rFonts w:ascii="Arabic Typesetting" w:hAnsi="Arabic Typesetting" w:cs="Arabic Typesetting"/>
          <w:b/>
          <w:bCs/>
          <w:sz w:val="88"/>
          <w:szCs w:val="88"/>
          <w:rtl/>
        </w:rPr>
        <w:t xml:space="preserve">18- أنَّ ما يحتمل وجهَ كمال ووجهَ نقْص من الأسماء والصفات العامَّة، يُفسَّر في حقِّ الله تعالى بالوجهِ الأكمل، كصفة الإرادة، فهي تُفسَّر بإرادة الخير التام؛ لأنَّ من الإرادة إرادةَ الشر، والله تعالى لا يُريد الشرَّ إنْ كان </w:t>
      </w:r>
      <w:proofErr w:type="spellStart"/>
      <w:r w:rsidRPr="00C31732">
        <w:rPr>
          <w:rFonts w:ascii="Arabic Typesetting" w:hAnsi="Arabic Typesetting" w:cs="Arabic Typesetting"/>
          <w:b/>
          <w:bCs/>
          <w:sz w:val="88"/>
          <w:szCs w:val="88"/>
          <w:rtl/>
        </w:rPr>
        <w:t>يشاؤه</w:t>
      </w:r>
      <w:proofErr w:type="spellEnd"/>
      <w:r w:rsidRPr="00C31732">
        <w:rPr>
          <w:rFonts w:ascii="Arabic Typesetting" w:hAnsi="Arabic Typesetting" w:cs="Arabic Typesetting"/>
          <w:b/>
          <w:bCs/>
          <w:sz w:val="88"/>
          <w:szCs w:val="88"/>
          <w:rtl/>
        </w:rPr>
        <w:t xml:space="preserve"> لحِكمة، وإرادته تع</w:t>
      </w:r>
      <w:r>
        <w:rPr>
          <w:rFonts w:ascii="Arabic Typesetting" w:hAnsi="Arabic Typesetting" w:cs="Arabic Typesetting"/>
          <w:b/>
          <w:bCs/>
          <w:sz w:val="88"/>
          <w:szCs w:val="88"/>
          <w:rtl/>
        </w:rPr>
        <w:t xml:space="preserve">ذيبَ أهل </w:t>
      </w:r>
      <w:r w:rsidRPr="00C54495">
        <w:rPr>
          <w:rFonts w:ascii="Arabic Typesetting" w:hAnsi="Arabic Typesetting" w:cs="Arabic Typesetting"/>
          <w:b/>
          <w:bCs/>
          <w:sz w:val="78"/>
          <w:szCs w:val="78"/>
          <w:rtl/>
        </w:rPr>
        <w:t xml:space="preserve">النار هي إرادةٌ </w:t>
      </w:r>
      <w:proofErr w:type="spellStart"/>
      <w:r w:rsidRPr="00C54495">
        <w:rPr>
          <w:rFonts w:ascii="Arabic Typesetting" w:hAnsi="Arabic Typesetting" w:cs="Arabic Typesetting"/>
          <w:b/>
          <w:bCs/>
          <w:sz w:val="78"/>
          <w:szCs w:val="78"/>
          <w:rtl/>
        </w:rPr>
        <w:t>للعدل،وإرادة</w:t>
      </w:r>
      <w:proofErr w:type="spellEnd"/>
      <w:r w:rsidRPr="00C54495">
        <w:rPr>
          <w:rFonts w:ascii="Arabic Typesetting" w:hAnsi="Arabic Typesetting" w:cs="Arabic Typesetting"/>
          <w:b/>
          <w:bCs/>
          <w:sz w:val="78"/>
          <w:szCs w:val="78"/>
          <w:rtl/>
        </w:rPr>
        <w:t xml:space="preserve"> العدل </w:t>
      </w:r>
      <w:proofErr w:type="spellStart"/>
      <w:r w:rsidRPr="00C54495">
        <w:rPr>
          <w:rFonts w:ascii="Arabic Typesetting" w:hAnsi="Arabic Typesetting" w:cs="Arabic Typesetting"/>
          <w:b/>
          <w:bCs/>
          <w:sz w:val="78"/>
          <w:szCs w:val="78"/>
          <w:rtl/>
        </w:rPr>
        <w:t>خير،ويُقاس</w:t>
      </w:r>
      <w:proofErr w:type="spellEnd"/>
      <w:r w:rsidRPr="00C54495">
        <w:rPr>
          <w:rFonts w:ascii="Arabic Typesetting" w:hAnsi="Arabic Typesetting" w:cs="Arabic Typesetting"/>
          <w:b/>
          <w:bCs/>
          <w:sz w:val="78"/>
          <w:szCs w:val="78"/>
          <w:rtl/>
        </w:rPr>
        <w:t xml:space="preserve"> على ذلك سائرُ ما شابهه</w:t>
      </w:r>
    </w:p>
    <w:p w:rsidR="00592C76" w:rsidRPr="00C31732" w:rsidRDefault="00592C76" w:rsidP="00592C76">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lastRenderedPageBreak/>
        <w:t>19- أنَّ الصفة المشتركة مما يُفيد الكمالَ تكون دَلالتُها على الكمال في حقِّ الله غيرَ ذلك في حقِّ الناس، فكلُّ صفة كمال في المخلوق يدخُلها النقصُ بوجهٍ من الوجوه.</w:t>
      </w:r>
    </w:p>
    <w:p w:rsidR="00592C76" w:rsidRPr="00C31732" w:rsidRDefault="00592C76" w:rsidP="00592C76">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t>20- أنَّ الكمال ثابتٌ لله تعالى في الأخبار، كما هو ثابتٌ في الأسماء والصفات.</w:t>
      </w:r>
    </w:p>
    <w:p w:rsidR="00592C76" w:rsidRPr="00C31732" w:rsidRDefault="00592C76" w:rsidP="00592C76">
      <w:pPr>
        <w:rPr>
          <w:rFonts w:ascii="Arabic Typesetting" w:hAnsi="Arabic Typesetting" w:cs="Arabic Typesetting"/>
          <w:b/>
          <w:bCs/>
          <w:sz w:val="88"/>
          <w:szCs w:val="88"/>
          <w:rtl/>
        </w:rPr>
      </w:pPr>
      <w:r w:rsidRPr="00C31732">
        <w:rPr>
          <w:rFonts w:ascii="Arabic Typesetting" w:hAnsi="Arabic Typesetting" w:cs="Arabic Typesetting"/>
          <w:b/>
          <w:bCs/>
          <w:sz w:val="88"/>
          <w:szCs w:val="88"/>
          <w:rtl/>
        </w:rPr>
        <w:t>21- أنَّ ثبوتَ الكمال لله تعالى يقتضِي تنزيهَه عن مشابهة الخلْق، ويقتضي نفْيَ اتصافه بالنقْص المضادِّ له، كما أنَّ نفيَ النقص عنه يُثبِت له الكمال المضادَّ له، ويقتضي عدمَ الإلْحاد فيها.</w:t>
      </w:r>
    </w:p>
    <w:p w:rsidR="00592C76" w:rsidRDefault="00592C76" w:rsidP="00592C76">
      <w:pPr>
        <w:rPr>
          <w:rFonts w:ascii="Arabic Typesetting" w:hAnsi="Arabic Typesetting" w:cs="Arabic Typesetting" w:hint="cs"/>
          <w:b/>
          <w:bCs/>
          <w:sz w:val="88"/>
          <w:szCs w:val="88"/>
          <w:rtl/>
        </w:rPr>
      </w:pPr>
      <w:r w:rsidRPr="00C31732">
        <w:rPr>
          <w:rFonts w:ascii="Arabic Typesetting" w:hAnsi="Arabic Typesetting" w:cs="Arabic Typesetting"/>
          <w:b/>
          <w:bCs/>
          <w:sz w:val="88"/>
          <w:szCs w:val="88"/>
          <w:rtl/>
        </w:rPr>
        <w:t>22- أنَّ ثبوتَ الكمال الإلهي يقتضي التعظيمَ مع المحبَّة، وهذ</w:t>
      </w:r>
      <w:r>
        <w:rPr>
          <w:rFonts w:ascii="Arabic Typesetting" w:hAnsi="Arabic Typesetting" w:cs="Arabic Typesetting"/>
          <w:b/>
          <w:bCs/>
          <w:sz w:val="88"/>
          <w:szCs w:val="88"/>
          <w:rtl/>
        </w:rPr>
        <w:t xml:space="preserve">ا هو الفارِق بيْن المدح </w:t>
      </w:r>
      <w:proofErr w:type="spellStart"/>
      <w:r>
        <w:rPr>
          <w:rFonts w:ascii="Arabic Typesetting" w:hAnsi="Arabic Typesetting" w:cs="Arabic Typesetting"/>
          <w:b/>
          <w:bCs/>
          <w:sz w:val="88"/>
          <w:szCs w:val="88"/>
          <w:rtl/>
        </w:rPr>
        <w:lastRenderedPageBreak/>
        <w:t>والحمد،فالثاني</w:t>
      </w:r>
      <w:proofErr w:type="spellEnd"/>
      <w:r>
        <w:rPr>
          <w:rFonts w:ascii="Arabic Typesetting" w:hAnsi="Arabic Typesetting" w:cs="Arabic Typesetting"/>
          <w:b/>
          <w:bCs/>
          <w:sz w:val="88"/>
          <w:szCs w:val="88"/>
          <w:rtl/>
        </w:rPr>
        <w:t xml:space="preserve"> </w:t>
      </w:r>
      <w:proofErr w:type="spellStart"/>
      <w:r>
        <w:rPr>
          <w:rFonts w:ascii="Arabic Typesetting" w:hAnsi="Arabic Typesetting" w:cs="Arabic Typesetting"/>
          <w:b/>
          <w:bCs/>
          <w:sz w:val="88"/>
          <w:szCs w:val="88"/>
          <w:rtl/>
        </w:rPr>
        <w:t>تُعتبَر</w:t>
      </w:r>
      <w:r w:rsidRPr="00C31732">
        <w:rPr>
          <w:rFonts w:ascii="Arabic Typesetting" w:hAnsi="Arabic Typesetting" w:cs="Arabic Typesetting"/>
          <w:b/>
          <w:bCs/>
          <w:sz w:val="88"/>
          <w:szCs w:val="88"/>
          <w:rtl/>
        </w:rPr>
        <w:t>ا</w:t>
      </w:r>
      <w:r>
        <w:rPr>
          <w:rFonts w:ascii="Arabic Typesetting" w:hAnsi="Arabic Typesetting" w:cs="Arabic Typesetting"/>
          <w:b/>
          <w:bCs/>
          <w:sz w:val="88"/>
          <w:szCs w:val="88"/>
          <w:rtl/>
        </w:rPr>
        <w:t>لمحبَّة</w:t>
      </w:r>
      <w:proofErr w:type="spellEnd"/>
      <w:r>
        <w:rPr>
          <w:rFonts w:ascii="Arabic Typesetting" w:hAnsi="Arabic Typesetting" w:cs="Arabic Typesetting"/>
          <w:b/>
          <w:bCs/>
          <w:sz w:val="88"/>
          <w:szCs w:val="88"/>
          <w:rtl/>
        </w:rPr>
        <w:t xml:space="preserve"> شرطًا فيه بخلاف الأوَّل</w:t>
      </w:r>
    </w:p>
    <w:p w:rsidR="00592C76" w:rsidRPr="00C54495" w:rsidRDefault="00592C76" w:rsidP="00592C76">
      <w:pPr>
        <w:rPr>
          <w:rFonts w:ascii="Arabic Typesetting" w:hAnsi="Arabic Typesetting" w:cs="Arabic Typesetting"/>
          <w:b/>
          <w:bCs/>
          <w:sz w:val="88"/>
          <w:szCs w:val="88"/>
          <w:rtl/>
        </w:rPr>
      </w:pPr>
      <w:r w:rsidRPr="00C54495">
        <w:rPr>
          <w:rFonts w:ascii="Arabic Typesetting" w:hAnsi="Arabic Typesetting" w:cs="Arabic Typesetting"/>
          <w:b/>
          <w:bCs/>
          <w:sz w:val="88"/>
          <w:szCs w:val="88"/>
          <w:rtl/>
        </w:rPr>
        <w:t>إلى هنا ونكمل في الحلقة القادمة والسلام عليكم ورحمة الله وبركاته</w:t>
      </w:r>
    </w:p>
    <w:p w:rsidR="00DC0BF8" w:rsidRDefault="00DC0BF8">
      <w:bookmarkStart w:id="0" w:name="_GoBack"/>
      <w:bookmarkEnd w:id="0"/>
    </w:p>
    <w:sectPr w:rsidR="00DC0BF8"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DE" w:rsidRDefault="00BD19DE" w:rsidP="00592C76">
      <w:r>
        <w:separator/>
      </w:r>
    </w:p>
  </w:endnote>
  <w:endnote w:type="continuationSeparator" w:id="0">
    <w:p w:rsidR="00BD19DE" w:rsidRDefault="00BD19DE" w:rsidP="0059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0627478"/>
      <w:docPartObj>
        <w:docPartGallery w:val="Page Numbers (Bottom of Page)"/>
        <w:docPartUnique/>
      </w:docPartObj>
    </w:sdtPr>
    <w:sdtContent>
      <w:p w:rsidR="00592C76" w:rsidRDefault="00592C76">
        <w:pPr>
          <w:pStyle w:val="a4"/>
          <w:jc w:val="center"/>
        </w:pPr>
        <w:r>
          <w:fldChar w:fldCharType="begin"/>
        </w:r>
        <w:r>
          <w:instrText>PAGE   \* MERGEFORMAT</w:instrText>
        </w:r>
        <w:r>
          <w:fldChar w:fldCharType="separate"/>
        </w:r>
        <w:r w:rsidRPr="00592C76">
          <w:rPr>
            <w:noProof/>
            <w:rtl/>
            <w:lang w:val="ar-SA"/>
          </w:rPr>
          <w:t>8</w:t>
        </w:r>
        <w:r>
          <w:fldChar w:fldCharType="end"/>
        </w:r>
      </w:p>
    </w:sdtContent>
  </w:sdt>
  <w:p w:rsidR="00592C76" w:rsidRDefault="00592C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DE" w:rsidRDefault="00BD19DE" w:rsidP="00592C76">
      <w:r>
        <w:separator/>
      </w:r>
    </w:p>
  </w:footnote>
  <w:footnote w:type="continuationSeparator" w:id="0">
    <w:p w:rsidR="00BD19DE" w:rsidRDefault="00BD19DE" w:rsidP="00592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76"/>
    <w:rsid w:val="00592C76"/>
    <w:rsid w:val="005C0EBC"/>
    <w:rsid w:val="00BD19DE"/>
    <w:rsid w:val="00DC0B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C7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C76"/>
    <w:pPr>
      <w:tabs>
        <w:tab w:val="center" w:pos="4153"/>
        <w:tab w:val="right" w:pos="8306"/>
      </w:tabs>
    </w:pPr>
  </w:style>
  <w:style w:type="character" w:customStyle="1" w:styleId="Char">
    <w:name w:val="رأس الصفحة Char"/>
    <w:basedOn w:val="a0"/>
    <w:link w:val="a3"/>
    <w:uiPriority w:val="99"/>
    <w:rsid w:val="00592C76"/>
    <w:rPr>
      <w:rFonts w:ascii="Times New Roman" w:eastAsia="Times New Roman" w:hAnsi="Times New Roman" w:cs="Times New Roman"/>
      <w:sz w:val="24"/>
      <w:szCs w:val="24"/>
    </w:rPr>
  </w:style>
  <w:style w:type="paragraph" w:styleId="a4">
    <w:name w:val="footer"/>
    <w:basedOn w:val="a"/>
    <w:link w:val="Char0"/>
    <w:uiPriority w:val="99"/>
    <w:unhideWhenUsed/>
    <w:rsid w:val="00592C76"/>
    <w:pPr>
      <w:tabs>
        <w:tab w:val="center" w:pos="4153"/>
        <w:tab w:val="right" w:pos="8306"/>
      </w:tabs>
    </w:pPr>
  </w:style>
  <w:style w:type="character" w:customStyle="1" w:styleId="Char0">
    <w:name w:val="تذييل الصفحة Char"/>
    <w:basedOn w:val="a0"/>
    <w:link w:val="a4"/>
    <w:uiPriority w:val="99"/>
    <w:rsid w:val="00592C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C7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C76"/>
    <w:pPr>
      <w:tabs>
        <w:tab w:val="center" w:pos="4153"/>
        <w:tab w:val="right" w:pos="8306"/>
      </w:tabs>
    </w:pPr>
  </w:style>
  <w:style w:type="character" w:customStyle="1" w:styleId="Char">
    <w:name w:val="رأس الصفحة Char"/>
    <w:basedOn w:val="a0"/>
    <w:link w:val="a3"/>
    <w:uiPriority w:val="99"/>
    <w:rsid w:val="00592C76"/>
    <w:rPr>
      <w:rFonts w:ascii="Times New Roman" w:eastAsia="Times New Roman" w:hAnsi="Times New Roman" w:cs="Times New Roman"/>
      <w:sz w:val="24"/>
      <w:szCs w:val="24"/>
    </w:rPr>
  </w:style>
  <w:style w:type="paragraph" w:styleId="a4">
    <w:name w:val="footer"/>
    <w:basedOn w:val="a"/>
    <w:link w:val="Char0"/>
    <w:uiPriority w:val="99"/>
    <w:unhideWhenUsed/>
    <w:rsid w:val="00592C76"/>
    <w:pPr>
      <w:tabs>
        <w:tab w:val="center" w:pos="4153"/>
        <w:tab w:val="right" w:pos="8306"/>
      </w:tabs>
    </w:pPr>
  </w:style>
  <w:style w:type="character" w:customStyle="1" w:styleId="Char0">
    <w:name w:val="تذييل الصفحة Char"/>
    <w:basedOn w:val="a0"/>
    <w:link w:val="a4"/>
    <w:uiPriority w:val="99"/>
    <w:rsid w:val="00592C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552</Words>
  <Characters>3148</Characters>
  <Application>Microsoft Office Word</Application>
  <DocSecurity>0</DocSecurity>
  <Lines>26</Lines>
  <Paragraphs>7</Paragraphs>
  <ScaleCrop>false</ScaleCrop>
  <Company>Ahmed-Under</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2023-02-01T04:19:00Z</dcterms:created>
  <dcterms:modified xsi:type="dcterms:W3CDTF">2023-02-01T04:20:00Z</dcterms:modified>
</cp:coreProperties>
</file>