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736" w:rsidRPr="00F75779" w:rsidRDefault="00BA2736" w:rsidP="00BA2736">
      <w:pPr>
        <w:autoSpaceDE w:val="0"/>
        <w:autoSpaceDN w:val="0"/>
        <w:bidi w:val="0"/>
        <w:adjustRightInd w:val="0"/>
        <w:spacing w:after="0" w:line="240" w:lineRule="auto"/>
        <w:jc w:val="right"/>
        <w:rPr>
          <w:rFonts w:ascii="Arial" w:hAnsi="Arial"/>
          <w:b/>
          <w:bCs/>
          <w:sz w:val="56"/>
          <w:szCs w:val="56"/>
          <w:rtl/>
        </w:rPr>
      </w:pPr>
      <w:r w:rsidRPr="00F75779">
        <w:rPr>
          <w:rFonts w:ascii="Arial" w:hAnsi="Arial" w:cs="Arial"/>
          <w:b/>
          <w:bCs/>
          <w:sz w:val="56"/>
          <w:szCs w:val="56"/>
          <w:rtl/>
        </w:rPr>
        <w:t xml:space="preserve">بسم الله ، والحمد لله ، والصلاة والسلام على رسول الله وبعد : فهذه الحلقة </w:t>
      </w:r>
      <w:r>
        <w:rPr>
          <w:rFonts w:ascii="Arial" w:hAnsi="Arial" w:cs="Arial" w:hint="cs"/>
          <w:b/>
          <w:bCs/>
          <w:sz w:val="56"/>
          <w:szCs w:val="56"/>
          <w:rtl/>
        </w:rPr>
        <w:t>الواحدة و</w:t>
      </w:r>
      <w:r w:rsidRPr="00F75779">
        <w:rPr>
          <w:rFonts w:ascii="Arial" w:hAnsi="Arial" w:cs="Arial"/>
          <w:b/>
          <w:bCs/>
          <w:sz w:val="56"/>
          <w:szCs w:val="56"/>
          <w:rtl/>
        </w:rPr>
        <w:t>العشرون في</w:t>
      </w:r>
      <w:r>
        <w:rPr>
          <w:rFonts w:ascii="Arial" w:hAnsi="Arial" w:cs="Arial"/>
          <w:b/>
          <w:bCs/>
          <w:sz w:val="56"/>
          <w:szCs w:val="56"/>
          <w:rtl/>
        </w:rPr>
        <w:t xml:space="preserve"> موضوع (العدل) والتي هي بعنوان</w:t>
      </w:r>
      <w:r>
        <w:rPr>
          <w:rFonts w:ascii="Arial" w:hAnsi="Arial" w:cs="Arial" w:hint="cs"/>
          <w:b/>
          <w:bCs/>
          <w:sz w:val="56"/>
          <w:szCs w:val="56"/>
          <w:rtl/>
        </w:rPr>
        <w:t xml:space="preserve"> :</w:t>
      </w:r>
    </w:p>
    <w:p w:rsidR="00BA2736" w:rsidRPr="00400D84" w:rsidRDefault="00BA2736" w:rsidP="00BA2736">
      <w:pPr>
        <w:rPr>
          <w:rFonts w:ascii="AdvertisingBold" w:hAnsi="AdvertisingBold" w:cs="AdvertisingBold"/>
          <w:b/>
          <w:bCs/>
          <w:sz w:val="56"/>
          <w:szCs w:val="56"/>
          <w:rtl/>
        </w:rPr>
      </w:pPr>
      <w:r>
        <w:rPr>
          <w:rFonts w:ascii="AdvertisingBold" w:hAnsi="AdvertisingBold" w:cs="AdvertisingBold" w:hint="cs"/>
          <w:b/>
          <w:bCs/>
          <w:sz w:val="56"/>
          <w:szCs w:val="56"/>
          <w:rtl/>
        </w:rPr>
        <w:t>*</w:t>
      </w:r>
      <w:r w:rsidRPr="00400D84">
        <w:rPr>
          <w:rFonts w:ascii="AdvertisingBold" w:hAnsi="AdvertisingBold" w:cs="AdvertisingBold" w:hint="cs"/>
          <w:b/>
          <w:bCs/>
          <w:sz w:val="56"/>
          <w:szCs w:val="56"/>
          <w:rtl/>
        </w:rPr>
        <w:t>العدل أساس لسائر الأساسات</w:t>
      </w:r>
      <w:r>
        <w:rPr>
          <w:rFonts w:ascii="AdvertisingBold" w:hAnsi="AdvertisingBold" w:cs="AdvertisingBold" w:hint="cs"/>
          <w:b/>
          <w:bCs/>
          <w:sz w:val="56"/>
          <w:szCs w:val="56"/>
          <w:rtl/>
        </w:rPr>
        <w:t xml:space="preserve">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يجب على الإمام نشر دعوة الحق وإقامة ميزان العدل وحماية الدين من الاعتداء والبدع والمشاورة في كل ما ليس فيه نص وهو مسؤول عن عمله يراجعه كل أحد من الأمة فيما يراه أخطأ فيه يحاسبه عليه أهل الحل والعقد وقد قال رسول الله صلى الله عليه وسلم: ( ... فالإمام راع وهو مسؤول عن رعيته ... ) رواه الشيخان من حديث لابن عمر وغيرهما</w:t>
      </w:r>
      <w:r w:rsidRPr="00400D84">
        <w:rPr>
          <w:rStyle w:val="a4"/>
          <w:rFonts w:ascii="Arial" w:hAnsi="Arial"/>
          <w:b/>
          <w:bCs/>
          <w:sz w:val="56"/>
          <w:szCs w:val="56"/>
          <w:rtl/>
        </w:rPr>
        <w:footnoteReference w:id="1"/>
      </w:r>
      <w:r w:rsidRPr="00400D84">
        <w:rPr>
          <w:rFonts w:ascii="Arial" w:hAnsi="Arial" w:hint="cs"/>
          <w:b/>
          <w:bCs/>
          <w:sz w:val="56"/>
          <w:szCs w:val="56"/>
          <w:rtl/>
        </w:rPr>
        <w:t xml:space="preserve">.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واتفق حكماء العرب والعجم على هذه الكلمات فقالوا: الملك بناء والجند أساسه فإذا قوي الاساس دام البناء وإذا ضعف الاساس انهار البناء فلا سلطان إلا بالجند ولا جند إلا بمال ولا مال إلا بجباية ولا جباية إلا بعمارة </w:t>
      </w:r>
      <w:r w:rsidRPr="00400D84">
        <w:rPr>
          <w:rFonts w:ascii="Arial" w:hAnsi="Arial" w:hint="cs"/>
          <w:b/>
          <w:bCs/>
          <w:sz w:val="56"/>
          <w:szCs w:val="56"/>
          <w:rtl/>
        </w:rPr>
        <w:lastRenderedPageBreak/>
        <w:t>ولا عمارة إلا بعدل فصار العدل أساسا لسائر الأساسات</w:t>
      </w:r>
      <w:r w:rsidRPr="00400D84">
        <w:rPr>
          <w:rStyle w:val="a4"/>
          <w:rFonts w:ascii="Arial" w:hAnsi="Arial"/>
          <w:b/>
          <w:bCs/>
          <w:sz w:val="56"/>
          <w:szCs w:val="56"/>
          <w:rtl/>
        </w:rPr>
        <w:footnoteReference w:id="2"/>
      </w:r>
      <w:r w:rsidRPr="00400D84">
        <w:rPr>
          <w:rFonts w:ascii="Arial" w:hAnsi="Arial" w:hint="cs"/>
          <w:b/>
          <w:bCs/>
          <w:sz w:val="56"/>
          <w:szCs w:val="56"/>
          <w:rtl/>
        </w:rPr>
        <w:t xml:space="preserve">. </w:t>
      </w:r>
    </w:p>
    <w:p w:rsidR="00BA2736" w:rsidRPr="00400D84" w:rsidRDefault="00BA2736" w:rsidP="00BA2736">
      <w:pPr>
        <w:rPr>
          <w:rFonts w:ascii="AdvertisingBold" w:hAnsi="AdvertisingBold" w:cs="AdvertisingBold"/>
          <w:b/>
          <w:bCs/>
          <w:sz w:val="56"/>
          <w:szCs w:val="56"/>
          <w:rtl/>
        </w:rPr>
      </w:pPr>
      <w:r>
        <w:rPr>
          <w:rFonts w:ascii="AdvertisingBold" w:hAnsi="AdvertisingBold" w:cs="AdvertisingBold" w:hint="cs"/>
          <w:b/>
          <w:bCs/>
          <w:sz w:val="56"/>
          <w:szCs w:val="56"/>
          <w:rtl/>
        </w:rPr>
        <w:t>*</w:t>
      </w:r>
      <w:r w:rsidRPr="00400D84">
        <w:rPr>
          <w:rFonts w:ascii="AdvertisingBold" w:hAnsi="AdvertisingBold" w:cs="AdvertisingBold" w:hint="cs"/>
          <w:b/>
          <w:bCs/>
          <w:sz w:val="56"/>
          <w:szCs w:val="56"/>
          <w:rtl/>
        </w:rPr>
        <w:t>كيف يتحقق العدل</w:t>
      </w:r>
      <w:r>
        <w:rPr>
          <w:rFonts w:ascii="AdvertisingBold" w:hAnsi="AdvertisingBold" w:cs="AdvertisingBold" w:hint="cs"/>
          <w:b/>
          <w:bCs/>
          <w:sz w:val="56"/>
          <w:szCs w:val="56"/>
          <w:rtl/>
        </w:rPr>
        <w:t xml:space="preserve"> :</w:t>
      </w:r>
    </w:p>
    <w:p w:rsidR="00BA2736"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من أراد من ودلاة الأمور العدل الذي أمر الله به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والتوصل إليه فليسلك الطرق التي تحفظ عليه ملكه في الدنيا ويكون سببا إلى الملك الحق في الدار الأخرى.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وجملة القول فيه أن يجمع السلطان إلي نفسه حملة العلم الذين هم حفاظه ورعاته </w:t>
      </w:r>
      <w:proofErr w:type="spellStart"/>
      <w:r w:rsidRPr="00400D84">
        <w:rPr>
          <w:rFonts w:ascii="Arial" w:hAnsi="Arial" w:hint="cs"/>
          <w:b/>
          <w:bCs/>
          <w:sz w:val="56"/>
          <w:szCs w:val="56"/>
          <w:rtl/>
        </w:rPr>
        <w:t>وفقهاؤه</w:t>
      </w:r>
      <w:proofErr w:type="spellEnd"/>
      <w:r w:rsidRPr="00400D84">
        <w:rPr>
          <w:rFonts w:ascii="Arial" w:hAnsi="Arial" w:hint="cs"/>
          <w:b/>
          <w:bCs/>
          <w:sz w:val="56"/>
          <w:szCs w:val="56"/>
          <w:rtl/>
        </w:rPr>
        <w:t xml:space="preserve"> فهم الأدلاء على الله والقائمون بأمر الله والحافظون لحدود الله والناصحون لعباد الله. </w:t>
      </w:r>
    </w:p>
    <w:p w:rsidR="00BA2736" w:rsidRPr="00400D84" w:rsidRDefault="00BA2736" w:rsidP="00BA2736">
      <w:pPr>
        <w:autoSpaceDE w:val="0"/>
        <w:autoSpaceDN w:val="0"/>
        <w:bidi w:val="0"/>
        <w:adjustRightInd w:val="0"/>
        <w:spacing w:after="0" w:line="240" w:lineRule="auto"/>
        <w:jc w:val="right"/>
        <w:rPr>
          <w:rFonts w:ascii="KFGQPC Uthman Taha Naskh" w:hAnsi="QCF2BSML" w:cs="KFGQPC Uthman Taha Naskh"/>
          <w:b/>
          <w:bCs/>
          <w:sz w:val="56"/>
          <w:szCs w:val="56"/>
          <w:rtl/>
        </w:rPr>
      </w:pPr>
      <w:r w:rsidRPr="00400D84">
        <w:rPr>
          <w:rFonts w:ascii="Arial" w:hAnsi="Arial" w:hint="cs"/>
          <w:b/>
          <w:bCs/>
          <w:sz w:val="56"/>
          <w:szCs w:val="56"/>
          <w:rtl/>
        </w:rPr>
        <w:t xml:space="preserve">   وقد ثبت في الصحيح أن رسول الله صلى الله عليه وسلم قال: ( الدين النصيحة قلنا لمن قال لله ولرسوله ولكتابه ولأئمة المسلمين وعامتهم )، فيتخذ العلماء شعارا والصالحين دثارا فتدور المملكة على نصائح العلماء ودعوات الصلحاء فيا سعد ملك يدور بين </w:t>
      </w:r>
      <w:r w:rsidRPr="00400D84">
        <w:rPr>
          <w:rFonts w:ascii="Arial" w:hAnsi="Arial" w:hint="cs"/>
          <w:b/>
          <w:bCs/>
          <w:sz w:val="56"/>
          <w:szCs w:val="56"/>
          <w:rtl/>
        </w:rPr>
        <w:lastRenderedPageBreak/>
        <w:t xml:space="preserve">هاتين الخصلتين لقدم قام عوده وأورق عموده وكيف لا وقد قرنهم الله حين الشهادة بالوحدانية بالملائكة المقربين فقال تعالى: </w:t>
      </w:r>
      <w:proofErr w:type="spellStart"/>
      <w:r w:rsidRPr="00400D84">
        <w:rPr>
          <w:rFonts w:ascii="QCF2BSML" w:hAnsi="QCF2BSML" w:cs="QCF2BSML"/>
          <w:b/>
          <w:bCs/>
          <w:sz w:val="56"/>
          <w:szCs w:val="56"/>
          <w:rtl/>
        </w:rPr>
        <w:t>ﭐﱡﭐ</w:t>
      </w:r>
      <w:proofErr w:type="spellEnd"/>
      <w:r w:rsidRPr="00400D84">
        <w:rPr>
          <w:rFonts w:ascii="QCF2052" w:hAnsi="QCF2052" w:cs="QCF2052"/>
          <w:b/>
          <w:bCs/>
          <w:sz w:val="56"/>
          <w:szCs w:val="56"/>
          <w:rtl/>
        </w:rPr>
        <w:t xml:space="preserve">  ﱔ  ﱕ ﱖ ﱗ ﱘ ﱙ ﱚ ﱛ ﱜ ﱝ ﱞ </w:t>
      </w:r>
      <w:proofErr w:type="spellStart"/>
      <w:r w:rsidRPr="00400D84">
        <w:rPr>
          <w:rFonts w:ascii="QCF2052" w:hAnsi="QCF2052" w:cs="QCF2052"/>
          <w:b/>
          <w:bCs/>
          <w:sz w:val="56"/>
          <w:szCs w:val="56"/>
          <w:rtl/>
        </w:rPr>
        <w:t>ﱟﱠ</w:t>
      </w:r>
      <w:proofErr w:type="spellEnd"/>
      <w:r w:rsidRPr="00400D84">
        <w:rPr>
          <w:rFonts w:ascii="QCF2052" w:hAnsi="QCF2052" w:cs="QCF2052"/>
          <w:b/>
          <w:bCs/>
          <w:sz w:val="56"/>
          <w:szCs w:val="56"/>
          <w:rtl/>
        </w:rPr>
        <w:t xml:space="preserve">  ﱡ ﱢ ﱣ ﱤ ﱥ ﱦ ﱧ </w:t>
      </w:r>
      <w:r w:rsidRPr="00400D84">
        <w:rPr>
          <w:rFonts w:ascii="QCF2BSML" w:hAnsi="QCF2BSML" w:cs="QCF2BSML"/>
          <w:b/>
          <w:bCs/>
          <w:sz w:val="56"/>
          <w:szCs w:val="56"/>
          <w:rtl/>
        </w:rPr>
        <w:t>ﱠ</w:t>
      </w:r>
      <w:r w:rsidRPr="00400D84">
        <w:rPr>
          <w:rFonts w:ascii="KFGQPC Uthman Taha Naskh" w:hAnsi="QCF2BSML" w:cs="KFGQPC Uthman Taha Naskh"/>
          <w:b/>
          <w:bCs/>
          <w:sz w:val="56"/>
          <w:szCs w:val="56"/>
          <w:rtl/>
        </w:rPr>
        <w:t xml:space="preserve"> آل عمران: ١٨</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فبدأ سبحانه بنفسه ثم ثنى بملائكته ثم ثلث بالعلماء الذين هم ورثة الأنبياء ففي تعظيمهم وتوقيرهم وتقريبهم امتثال لأمر الله وتعظيم لمن أثنى الله تعالى عليه واستمالة لقلوب الرعية فلا يقطع أمرا دونهم ولا يفصل أمرا ولا حكما إلا بمشاورتهم لأنه في ملك الله يحكم وفي رعيته يتصرف وفي شريعته يقطع ينزل نفسه مع الله تعالى منزلة ولاته معه. </w:t>
      </w:r>
    </w:p>
    <w:p w:rsidR="00BA2736"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وأقل الواجبات على السلطان أن ينزل نفسه مع الله </w:t>
      </w:r>
    </w:p>
    <w:p w:rsidR="00BA2736"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lastRenderedPageBreak/>
        <w:t xml:space="preserve">تعالى منزلة ولاته معه أليس إذا خالف واليه أمره وما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رسم به له من الأحكام عزله وعاقبه ولم يأمن سطوته وإذا امتثل أوامره وانتهى عن مناهيه حل عنده محل الرضا </w:t>
      </w:r>
      <w:proofErr w:type="spellStart"/>
      <w:r w:rsidRPr="00400D84">
        <w:rPr>
          <w:rFonts w:ascii="Arial" w:hAnsi="Arial" w:hint="cs"/>
          <w:b/>
          <w:bCs/>
          <w:sz w:val="56"/>
          <w:szCs w:val="56"/>
          <w:rtl/>
        </w:rPr>
        <w:t>فواعجبا</w:t>
      </w:r>
      <w:proofErr w:type="spellEnd"/>
      <w:r w:rsidRPr="00400D84">
        <w:rPr>
          <w:rFonts w:ascii="Arial" w:hAnsi="Arial" w:hint="cs"/>
          <w:b/>
          <w:bCs/>
          <w:sz w:val="56"/>
          <w:szCs w:val="56"/>
          <w:rtl/>
        </w:rPr>
        <w:t xml:space="preserve"> ممن يغضب على واليه إذا خالفه ثم لا يخاف سطوة ربه عليه إذا خالفه</w:t>
      </w:r>
      <w:r w:rsidRPr="00400D84">
        <w:rPr>
          <w:rStyle w:val="a4"/>
          <w:rFonts w:ascii="Arial" w:hAnsi="Arial"/>
          <w:b/>
          <w:bCs/>
          <w:sz w:val="56"/>
          <w:szCs w:val="56"/>
          <w:rtl/>
        </w:rPr>
        <w:footnoteReference w:id="3"/>
      </w:r>
      <w:r w:rsidRPr="00400D84">
        <w:rPr>
          <w:rFonts w:ascii="Arial" w:hAnsi="Arial" w:hint="cs"/>
          <w:b/>
          <w:bCs/>
          <w:sz w:val="56"/>
          <w:szCs w:val="56"/>
          <w:rtl/>
        </w:rPr>
        <w:t xml:space="preserve">. </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قال الطحاوي: ونحب أهل العدل والأمانة ونبغض أهل الجور والخيانة</w:t>
      </w:r>
      <w:r w:rsidRPr="00400D84">
        <w:rPr>
          <w:rStyle w:val="a4"/>
          <w:rFonts w:ascii="Arial" w:hAnsi="Arial"/>
          <w:b/>
          <w:bCs/>
          <w:sz w:val="56"/>
          <w:szCs w:val="56"/>
          <w:rtl/>
        </w:rPr>
        <w:footnoteReference w:id="4"/>
      </w:r>
      <w:r w:rsidRPr="00400D84">
        <w:rPr>
          <w:rFonts w:ascii="Arial" w:hAnsi="Arial" w:hint="cs"/>
          <w:b/>
          <w:bCs/>
          <w:sz w:val="56"/>
          <w:szCs w:val="56"/>
          <w:rtl/>
        </w:rPr>
        <w:t>.</w:t>
      </w:r>
    </w:p>
    <w:p w:rsidR="00BA2736" w:rsidRPr="00400D84" w:rsidRDefault="00BA2736" w:rsidP="00BA2736">
      <w:pPr>
        <w:rPr>
          <w:rFonts w:ascii="AdvertisingBold" w:hAnsi="AdvertisingBold" w:cs="AdvertisingBold"/>
          <w:b/>
          <w:bCs/>
          <w:sz w:val="56"/>
          <w:szCs w:val="56"/>
          <w:rtl/>
        </w:rPr>
      </w:pPr>
      <w:r>
        <w:rPr>
          <w:rFonts w:ascii="AdvertisingBold" w:hAnsi="AdvertisingBold" w:cs="AdvertisingBold" w:hint="cs"/>
          <w:b/>
          <w:bCs/>
          <w:sz w:val="56"/>
          <w:szCs w:val="56"/>
          <w:rtl/>
        </w:rPr>
        <w:t>*</w:t>
      </w:r>
      <w:r w:rsidRPr="00400D84">
        <w:rPr>
          <w:rFonts w:ascii="AdvertisingBold" w:hAnsi="AdvertisingBold" w:cs="AdvertisingBold" w:hint="cs"/>
          <w:b/>
          <w:bCs/>
          <w:sz w:val="56"/>
          <w:szCs w:val="56"/>
          <w:rtl/>
        </w:rPr>
        <w:t>نَسَبَ إبليس إلى الله الجور وعدم العدل فَكَفَرَ</w:t>
      </w:r>
      <w:r>
        <w:rPr>
          <w:rFonts w:ascii="AdvertisingBold" w:hAnsi="AdvertisingBold" w:cs="AdvertisingBold" w:hint="cs"/>
          <w:b/>
          <w:bCs/>
          <w:sz w:val="56"/>
          <w:szCs w:val="56"/>
          <w:rtl/>
        </w:rPr>
        <w:t xml:space="preserve"> :</w:t>
      </w:r>
      <w:r w:rsidRPr="00400D84">
        <w:rPr>
          <w:rFonts w:ascii="AdvertisingBold" w:hAnsi="AdvertisingBold" w:cs="AdvertisingBold" w:hint="cs"/>
          <w:b/>
          <w:bCs/>
          <w:sz w:val="56"/>
          <w:szCs w:val="56"/>
          <w:rtl/>
        </w:rPr>
        <w:t xml:space="preserve"> </w:t>
      </w:r>
    </w:p>
    <w:p w:rsidR="00BA2736" w:rsidRPr="00400D84" w:rsidRDefault="00BA2736" w:rsidP="00BA2736">
      <w:pPr>
        <w:autoSpaceDE w:val="0"/>
        <w:autoSpaceDN w:val="0"/>
        <w:bidi w:val="0"/>
        <w:adjustRightInd w:val="0"/>
        <w:spacing w:after="0" w:line="240" w:lineRule="auto"/>
        <w:jc w:val="right"/>
        <w:rPr>
          <w:rFonts w:ascii="KFGQPC Uthman Taha Naskh" w:hAnsi="QCF2BSML" w:cs="KFGQPC Uthman Taha Naskh"/>
          <w:b/>
          <w:bCs/>
          <w:sz w:val="56"/>
          <w:szCs w:val="56"/>
          <w:rtl/>
        </w:rPr>
      </w:pPr>
      <w:r w:rsidRPr="00400D84">
        <w:rPr>
          <w:rFonts w:ascii="Arial" w:hAnsi="Arial" w:hint="cs"/>
          <w:b/>
          <w:bCs/>
          <w:sz w:val="56"/>
          <w:szCs w:val="56"/>
          <w:rtl/>
        </w:rPr>
        <w:t xml:space="preserve">   إبليس كفر بنسبة الله تعالى إلى الجور وأنه أمر بالسجود لمن هو أولى أن يسجد له وأن ذلك ليس عدلا لقوله: </w:t>
      </w:r>
      <w:proofErr w:type="spellStart"/>
      <w:r w:rsidRPr="00400D84">
        <w:rPr>
          <w:rFonts w:ascii="QCF2BSML" w:hAnsi="QCF2BSML" w:cs="QCF2BSML"/>
          <w:b/>
          <w:bCs/>
          <w:sz w:val="56"/>
          <w:szCs w:val="56"/>
          <w:rtl/>
        </w:rPr>
        <w:t>ﭐﱡﭐ</w:t>
      </w:r>
      <w:proofErr w:type="spellEnd"/>
      <w:r w:rsidRPr="00400D84">
        <w:rPr>
          <w:rFonts w:ascii="QCF2152" w:hAnsi="QCF2152" w:cs="QCF2152"/>
          <w:b/>
          <w:bCs/>
          <w:sz w:val="56"/>
          <w:szCs w:val="56"/>
          <w:rtl/>
        </w:rPr>
        <w:t xml:space="preserve"> ﱁ ﱂ </w:t>
      </w:r>
      <w:r>
        <w:rPr>
          <w:rFonts w:ascii="QCF2152" w:hAnsi="QCF2152" w:cs="QCF2152"/>
          <w:b/>
          <w:bCs/>
          <w:sz w:val="56"/>
          <w:szCs w:val="56"/>
          <w:rtl/>
        </w:rPr>
        <w:t xml:space="preserve">ﱃ ﱄ ﱅ ﱆ </w:t>
      </w:r>
      <w:proofErr w:type="spellStart"/>
      <w:r>
        <w:rPr>
          <w:rFonts w:ascii="QCF2152" w:hAnsi="QCF2152" w:cs="QCF2152"/>
          <w:b/>
          <w:bCs/>
          <w:sz w:val="56"/>
          <w:szCs w:val="56"/>
          <w:rtl/>
        </w:rPr>
        <w:t>ﱇﱈ</w:t>
      </w:r>
      <w:proofErr w:type="spellEnd"/>
      <w:r>
        <w:rPr>
          <w:rFonts w:ascii="QCF2152" w:hAnsi="QCF2152" w:cs="QCF2152"/>
          <w:b/>
          <w:bCs/>
          <w:sz w:val="56"/>
          <w:szCs w:val="56"/>
          <w:rtl/>
        </w:rPr>
        <w:t xml:space="preserve"> ﱉ ﱊ ﱋ ﱌ ﱍ ﱎ ﱏ  ﱐ ﱑ </w:t>
      </w:r>
      <w:proofErr w:type="spellStart"/>
      <w:r>
        <w:rPr>
          <w:rFonts w:ascii="QCF2152" w:hAnsi="QCF2152" w:cs="QCF2152"/>
          <w:b/>
          <w:bCs/>
          <w:sz w:val="56"/>
          <w:szCs w:val="56"/>
          <w:rtl/>
        </w:rPr>
        <w:t>ﱒ</w:t>
      </w:r>
      <w:r w:rsidRPr="00400D84">
        <w:rPr>
          <w:rFonts w:ascii="QCF2BSML" w:hAnsi="QCF2BSML" w:cs="QCF2BSML"/>
          <w:b/>
          <w:bCs/>
          <w:sz w:val="56"/>
          <w:szCs w:val="56"/>
          <w:rtl/>
        </w:rPr>
        <w:t>ﱠ</w:t>
      </w:r>
      <w:proofErr w:type="spellEnd"/>
      <w:r w:rsidRPr="00400D84">
        <w:rPr>
          <w:rFonts w:ascii="KFGQPC Uthman Taha Naskh" w:hAnsi="QCF2BSML" w:cs="KFGQPC Uthman Taha Naskh"/>
          <w:b/>
          <w:bCs/>
          <w:sz w:val="56"/>
          <w:szCs w:val="56"/>
          <w:rtl/>
        </w:rPr>
        <w:t xml:space="preserve"> </w:t>
      </w:r>
      <w:r w:rsidRPr="008B1348">
        <w:rPr>
          <w:rFonts w:ascii="KFGQPC Uthman Taha Naskh" w:hAnsi="QCF2BSML" w:cs="KFGQPC Uthman Taha Naskh"/>
          <w:b/>
          <w:bCs/>
          <w:sz w:val="48"/>
          <w:szCs w:val="48"/>
          <w:rtl/>
        </w:rPr>
        <w:t>الأعراف:</w:t>
      </w:r>
      <w:r w:rsidRPr="00400D84">
        <w:rPr>
          <w:rFonts w:ascii="KFGQPC Uthman Taha Naskh" w:hAnsi="QCF2BSML" w:cs="KFGQPC Uthman Taha Naskh"/>
          <w:b/>
          <w:bCs/>
          <w:sz w:val="56"/>
          <w:szCs w:val="56"/>
          <w:rtl/>
        </w:rPr>
        <w:t xml:space="preserve"> ١٢</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lastRenderedPageBreak/>
        <w:t>فهذا منه إشارة إلى التجوير والتسفيه ومن نسب الله تعالى إلى ذلك فلا شك في كفره فهذه الجراءة على الله تعالى هي سبب كفره ولا يقال إنما كفر بسبب الكبر على آدم لقوله: [ أنا خير منه ] فإنه كان يلزم منه أن كل متكبر كافر وليس الأمر كذلك نعم أن من تكبر على الله تعالى وعن أن يكون مطيعا له في أوامره فهو كافر</w:t>
      </w:r>
      <w:r w:rsidRPr="00400D84">
        <w:rPr>
          <w:rStyle w:val="a4"/>
          <w:rFonts w:ascii="Arial" w:hAnsi="Arial"/>
          <w:b/>
          <w:bCs/>
          <w:sz w:val="56"/>
          <w:szCs w:val="56"/>
          <w:rtl/>
        </w:rPr>
        <w:footnoteReference w:id="5"/>
      </w:r>
      <w:r w:rsidRPr="00400D84">
        <w:rPr>
          <w:rFonts w:ascii="Arial" w:hAnsi="Arial" w:hint="cs"/>
          <w:b/>
          <w:bCs/>
          <w:sz w:val="56"/>
          <w:szCs w:val="56"/>
          <w:rtl/>
        </w:rPr>
        <w:t>.</w:t>
      </w:r>
    </w:p>
    <w:p w:rsidR="00BA2736" w:rsidRPr="00400D84" w:rsidRDefault="00BA2736" w:rsidP="00BA2736">
      <w:pPr>
        <w:rPr>
          <w:rFonts w:ascii="AdvertisingBold" w:hAnsi="AdvertisingBold" w:cs="AdvertisingBold"/>
          <w:b/>
          <w:bCs/>
          <w:sz w:val="56"/>
          <w:szCs w:val="56"/>
          <w:rtl/>
        </w:rPr>
      </w:pPr>
      <w:r>
        <w:rPr>
          <w:rFonts w:ascii="AdvertisingBold" w:hAnsi="AdvertisingBold" w:cs="AdvertisingBold" w:hint="cs"/>
          <w:b/>
          <w:bCs/>
          <w:sz w:val="56"/>
          <w:szCs w:val="56"/>
          <w:rtl/>
        </w:rPr>
        <w:t>*</w:t>
      </w:r>
      <w:r w:rsidRPr="00400D84">
        <w:rPr>
          <w:rFonts w:ascii="AdvertisingBold" w:hAnsi="AdvertisingBold" w:cs="AdvertisingBold" w:hint="cs"/>
          <w:b/>
          <w:bCs/>
          <w:sz w:val="56"/>
          <w:szCs w:val="56"/>
          <w:rtl/>
        </w:rPr>
        <w:t>أدنى الشرك الحب على شيء من الجور والبغض على شيء من العدل</w:t>
      </w:r>
      <w:r>
        <w:rPr>
          <w:rFonts w:ascii="AdvertisingBold" w:hAnsi="AdvertisingBold" w:cs="AdvertisingBold" w:hint="cs"/>
          <w:b/>
          <w:bCs/>
          <w:sz w:val="56"/>
          <w:szCs w:val="56"/>
          <w:rtl/>
        </w:rPr>
        <w:t xml:space="preserve"> :</w:t>
      </w:r>
    </w:p>
    <w:p w:rsidR="00BA2736" w:rsidRPr="008B1348" w:rsidRDefault="00BA2736" w:rsidP="00BA2736">
      <w:pPr>
        <w:autoSpaceDE w:val="0"/>
        <w:autoSpaceDN w:val="0"/>
        <w:bidi w:val="0"/>
        <w:adjustRightInd w:val="0"/>
        <w:spacing w:after="0" w:line="240" w:lineRule="auto"/>
        <w:jc w:val="right"/>
        <w:rPr>
          <w:rFonts w:cs="KFGQPC Uthman Taha Naskh"/>
          <w:b/>
          <w:bCs/>
          <w:sz w:val="56"/>
          <w:szCs w:val="56"/>
        </w:rPr>
      </w:pPr>
      <w:r w:rsidRPr="00400D84">
        <w:rPr>
          <w:rFonts w:ascii="Arial" w:hAnsi="Arial" w:hint="cs"/>
          <w:b/>
          <w:bCs/>
          <w:sz w:val="56"/>
          <w:szCs w:val="56"/>
          <w:rtl/>
        </w:rPr>
        <w:t xml:space="preserve">   أخرج الحاكم بسنده من حديث عائشة رضي الله عنها قالت قال رسول الله صلى الله عليه وسلم: ( الشرك أخفى من دبيب الذر على الصفا في الليلة الظلماء وأدناه أن تحب على شيء من الجور وتبغض على شيء من العدل وهل الدين إلا الحب والبغض: </w:t>
      </w:r>
      <w:proofErr w:type="spellStart"/>
      <w:r w:rsidRPr="00400D84">
        <w:rPr>
          <w:rFonts w:ascii="QCF2BSML" w:hAnsi="QCF2BSML" w:cs="QCF2BSML"/>
          <w:b/>
          <w:bCs/>
          <w:sz w:val="56"/>
          <w:szCs w:val="56"/>
          <w:rtl/>
        </w:rPr>
        <w:t>ﭧﭐﭨﭐﱡﭐ</w:t>
      </w:r>
      <w:proofErr w:type="spellEnd"/>
      <w:r w:rsidRPr="00400D84">
        <w:rPr>
          <w:rFonts w:ascii="QCF2054" w:hAnsi="QCF2054" w:cs="QCF2054"/>
          <w:b/>
          <w:bCs/>
          <w:sz w:val="56"/>
          <w:szCs w:val="56"/>
          <w:rtl/>
        </w:rPr>
        <w:t xml:space="preserve"> ﱞ ﱟ ﱠ ﱡ ﱢ  ﱣ ﱤ ﱥ </w:t>
      </w:r>
      <w:r w:rsidRPr="00400D84">
        <w:rPr>
          <w:rFonts w:ascii="QCF2054" w:hAnsi="QCF2054" w:cs="QCF2054"/>
          <w:b/>
          <w:bCs/>
          <w:sz w:val="56"/>
          <w:szCs w:val="56"/>
          <w:rtl/>
        </w:rPr>
        <w:lastRenderedPageBreak/>
        <w:t xml:space="preserve">ﱦ ﱧ </w:t>
      </w:r>
      <w:proofErr w:type="spellStart"/>
      <w:r w:rsidRPr="00400D84">
        <w:rPr>
          <w:rFonts w:ascii="QCF2054" w:hAnsi="QCF2054" w:cs="QCF2054"/>
          <w:b/>
          <w:bCs/>
          <w:sz w:val="56"/>
          <w:szCs w:val="56"/>
          <w:rtl/>
        </w:rPr>
        <w:t>ﱨﱩ</w:t>
      </w:r>
      <w:proofErr w:type="spellEnd"/>
      <w:r w:rsidRPr="00400D84">
        <w:rPr>
          <w:rFonts w:ascii="QCF2054" w:hAnsi="QCF2054" w:cs="QCF2054"/>
          <w:b/>
          <w:bCs/>
          <w:sz w:val="56"/>
          <w:szCs w:val="56"/>
          <w:rtl/>
        </w:rPr>
        <w:t xml:space="preserve"> ﱪ ﱫ ﱬ  ﱭ </w:t>
      </w:r>
      <w:r w:rsidRPr="00400D84">
        <w:rPr>
          <w:rFonts w:ascii="QCF2BSML" w:hAnsi="QCF2BSML" w:cs="QCF2BSML"/>
          <w:b/>
          <w:bCs/>
          <w:sz w:val="56"/>
          <w:szCs w:val="56"/>
          <w:rtl/>
        </w:rPr>
        <w:t>ﱠ</w:t>
      </w:r>
      <w:r w:rsidRPr="00400D84">
        <w:rPr>
          <w:rFonts w:ascii="KFGQPC Uthman Taha Naskh" w:hAnsi="QCF2BSML" w:cs="KFGQPC Uthman Taha Naskh"/>
          <w:b/>
          <w:bCs/>
          <w:sz w:val="56"/>
          <w:szCs w:val="56"/>
          <w:rtl/>
        </w:rPr>
        <w:t xml:space="preserve"> آل عمران: </w:t>
      </w:r>
      <w:r w:rsidRPr="00400D84">
        <w:rPr>
          <w:rStyle w:val="a4"/>
          <w:rFonts w:ascii="KFGQPC Uthman Taha Naskh" w:hAnsi="QCF2BSML" w:cs="KFGQPC Uthman Taha Naskh"/>
          <w:b/>
          <w:bCs/>
          <w:sz w:val="56"/>
          <w:szCs w:val="56"/>
          <w:rtl/>
        </w:rPr>
        <w:footnoteReference w:id="6"/>
      </w:r>
      <w:r w:rsidRPr="00400D84">
        <w:rPr>
          <w:rFonts w:ascii="KFGQPC Uthman Taha Naskh" w:hAnsi="QCF2BSML" w:cs="KFGQPC Uthman Taha Naskh"/>
          <w:b/>
          <w:bCs/>
          <w:sz w:val="56"/>
          <w:szCs w:val="56"/>
          <w:rtl/>
        </w:rPr>
        <w:t>٣١</w:t>
      </w:r>
    </w:p>
    <w:p w:rsidR="00BA2736" w:rsidRPr="00400D84" w:rsidRDefault="00BA2736" w:rsidP="00BA2736">
      <w:pPr>
        <w:autoSpaceDE w:val="0"/>
        <w:autoSpaceDN w:val="0"/>
        <w:bidi w:val="0"/>
        <w:adjustRightInd w:val="0"/>
        <w:spacing w:after="0" w:line="240" w:lineRule="auto"/>
        <w:jc w:val="right"/>
        <w:rPr>
          <w:rFonts w:ascii="Arial" w:hAnsi="Arial"/>
          <w:b/>
          <w:bCs/>
          <w:sz w:val="56"/>
          <w:szCs w:val="56"/>
          <w:rtl/>
        </w:rPr>
      </w:pPr>
      <w:r w:rsidRPr="00400D84">
        <w:rPr>
          <w:rFonts w:ascii="Arial" w:hAnsi="Arial" w:hint="cs"/>
          <w:b/>
          <w:bCs/>
          <w:sz w:val="56"/>
          <w:szCs w:val="56"/>
          <w:rtl/>
        </w:rPr>
        <w:t xml:space="preserve">   فهذا يدل على أن محبة ما يكرهه الله وبغض ما يحبه متابعة للهوى، والموالاة على ذلك والمعاداة عليه من الشرك الخفي ويدل على ذلك الآية المتقدمة، فجعل الله علامة الصدق في محبته واتباع رسوله فدل على أن المحبة لا تتم بدون الطاعة والموافقة</w:t>
      </w:r>
      <w:r w:rsidRPr="00400D84">
        <w:rPr>
          <w:rStyle w:val="a4"/>
          <w:rFonts w:ascii="Arial" w:hAnsi="Arial"/>
          <w:b/>
          <w:bCs/>
          <w:sz w:val="56"/>
          <w:szCs w:val="56"/>
          <w:rtl/>
        </w:rPr>
        <w:footnoteReference w:id="7"/>
      </w:r>
      <w:r w:rsidRPr="00400D84">
        <w:rPr>
          <w:rFonts w:ascii="Arial" w:hAnsi="Arial" w:hint="cs"/>
          <w:b/>
          <w:bCs/>
          <w:sz w:val="56"/>
          <w:szCs w:val="56"/>
          <w:rtl/>
        </w:rPr>
        <w:t xml:space="preserve">. </w:t>
      </w:r>
    </w:p>
    <w:p w:rsidR="00BA2736" w:rsidRPr="008B1348" w:rsidRDefault="00BA2736" w:rsidP="00BA2736">
      <w:pPr>
        <w:rPr>
          <w:rFonts w:ascii="Arial" w:hAnsi="Arial"/>
          <w:b/>
          <w:bCs/>
          <w:sz w:val="56"/>
          <w:szCs w:val="56"/>
          <w:rtl/>
        </w:rPr>
      </w:pPr>
      <w:r w:rsidRPr="008B1348">
        <w:rPr>
          <w:rFonts w:ascii="Arial" w:hAnsi="Arial" w:cs="Arial"/>
          <w:b/>
          <w:bCs/>
          <w:sz w:val="56"/>
          <w:szCs w:val="56"/>
          <w:rtl/>
        </w:rPr>
        <w:t>إلى هنا ونكمل في اللقاء القادم والسلام عليكم</w:t>
      </w:r>
    </w:p>
    <w:p w:rsidR="00392415" w:rsidRDefault="00392415">
      <w:bookmarkStart w:id="0" w:name="_GoBack"/>
      <w:bookmarkEnd w:id="0"/>
    </w:p>
    <w:sectPr w:rsidR="00392415" w:rsidSect="00BB584D">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3FE" w:rsidRDefault="000B53FE" w:rsidP="00BA2736">
      <w:pPr>
        <w:spacing w:after="0" w:line="240" w:lineRule="auto"/>
      </w:pPr>
      <w:r>
        <w:separator/>
      </w:r>
    </w:p>
  </w:endnote>
  <w:endnote w:type="continuationSeparator" w:id="0">
    <w:p w:rsidR="000B53FE" w:rsidRDefault="000B53FE" w:rsidP="00BA27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FF" w:usb2="00000029" w:usb3="00000000" w:csb0="000001FF" w:csb1="00000000"/>
  </w:font>
  <w:font w:name="Times New Roman">
    <w:panose1 w:val="02020603050405020304"/>
    <w:charset w:val="00"/>
    <w:family w:val="roman"/>
    <w:pitch w:val="variable"/>
    <w:sig w:usb0="E0002EFF" w:usb1="C0007843" w:usb2="00000009" w:usb3="00000000" w:csb0="000001FF" w:csb1="00000000"/>
  </w:font>
  <w:font w:name="AdvertisingBold">
    <w:altName w:val="Arial"/>
    <w:panose1 w:val="00000000000000000000"/>
    <w:charset w:val="00"/>
    <w:family w:val="auto"/>
    <w:pitch w:val="variable"/>
    <w:sig w:usb0="8000202F" w:usb1="90000008" w:usb2="00000008" w:usb3="00000000" w:csb0="00000041" w:csb1="00000000"/>
  </w:font>
  <w:font w:name="KFGQPC Uthman Taha Naskh">
    <w:altName w:val="Arial"/>
    <w:panose1 w:val="02000000000000000000"/>
    <w:charset w:val="B2"/>
    <w:family w:val="auto"/>
    <w:pitch w:val="variable"/>
    <w:sig w:usb0="80002003" w:usb1="90000000" w:usb2="00000008" w:usb3="00000000" w:csb0="00000040" w:csb1="00000000"/>
  </w:font>
  <w:font w:name="QCF2BSML">
    <w:altName w:val="Arial"/>
    <w:panose1 w:val="02000400000000000000"/>
    <w:charset w:val="00"/>
    <w:family w:val="auto"/>
    <w:pitch w:val="variable"/>
    <w:sig w:usb0="80002003" w:usb1="90000000" w:usb2="00000008" w:usb3="00000000" w:csb0="80000041" w:csb1="00000000"/>
  </w:font>
  <w:font w:name="QCF2052">
    <w:altName w:val="Arial"/>
    <w:panose1 w:val="00000400000000000000"/>
    <w:charset w:val="00"/>
    <w:family w:val="auto"/>
    <w:pitch w:val="variable"/>
    <w:sig w:usb0="00002003" w:usb1="80000000" w:usb2="00000000" w:usb3="00000000" w:csb0="00000041" w:csb1="00000000"/>
  </w:font>
  <w:font w:name="QCF2152">
    <w:panose1 w:val="00000400000000000000"/>
    <w:charset w:val="00"/>
    <w:family w:val="auto"/>
    <w:pitch w:val="variable"/>
    <w:sig w:usb0="00002003" w:usb1="80000000" w:usb2="00000000" w:usb3="00000000" w:csb0="00000041" w:csb1="00000000"/>
  </w:font>
  <w:font w:name="QCF2054">
    <w:panose1 w:val="00000400000000000000"/>
    <w:charset w:val="00"/>
    <w:family w:val="auto"/>
    <w:pitch w:val="variable"/>
    <w:sig w:usb0="00002003" w:usb1="8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3FE" w:rsidRDefault="000B53FE" w:rsidP="00BA2736">
      <w:pPr>
        <w:spacing w:after="0" w:line="240" w:lineRule="auto"/>
      </w:pPr>
      <w:r>
        <w:separator/>
      </w:r>
    </w:p>
  </w:footnote>
  <w:footnote w:type="continuationSeparator" w:id="0">
    <w:p w:rsidR="000B53FE" w:rsidRDefault="000B53FE" w:rsidP="00BA2736">
      <w:pPr>
        <w:spacing w:after="0" w:line="240" w:lineRule="auto"/>
      </w:pPr>
      <w:r>
        <w:continuationSeparator/>
      </w:r>
    </w:p>
  </w:footnote>
  <w:footnote w:id="1">
    <w:p w:rsidR="00BA2736" w:rsidRDefault="00BA2736" w:rsidP="00BA2736">
      <w:pPr>
        <w:pStyle w:val="a3"/>
        <w:rPr>
          <w:rtl/>
        </w:rPr>
      </w:pPr>
      <w:r>
        <w:rPr>
          <w:rStyle w:val="a4"/>
        </w:rPr>
        <w:footnoteRef/>
      </w:r>
      <w:r>
        <w:rPr>
          <w:rtl/>
        </w:rPr>
        <w:t xml:space="preserve"> </w:t>
      </w:r>
      <w:r>
        <w:rPr>
          <w:rFonts w:hint="cs"/>
          <w:rtl/>
        </w:rPr>
        <w:t xml:space="preserve">الخلافة ج1/ص35، وهو: مرد اللطافة في من ولي السلطنة والخلافة، تأليف: يوسف بن تغرري بردي </w:t>
      </w:r>
      <w:proofErr w:type="spellStart"/>
      <w:r>
        <w:rPr>
          <w:rFonts w:hint="cs"/>
          <w:rtl/>
        </w:rPr>
        <w:t>الأتابكي</w:t>
      </w:r>
      <w:proofErr w:type="spellEnd"/>
      <w:r>
        <w:rPr>
          <w:rFonts w:hint="cs"/>
          <w:rtl/>
        </w:rPr>
        <w:t xml:space="preserve">، دار النشر: دار الكتب المصرية </w:t>
      </w:r>
      <w:r>
        <w:rPr>
          <w:rtl/>
        </w:rPr>
        <w:t>–</w:t>
      </w:r>
      <w:r>
        <w:rPr>
          <w:rFonts w:hint="cs"/>
          <w:rtl/>
        </w:rPr>
        <w:t xml:space="preserve"> القاهرة </w:t>
      </w:r>
      <w:r>
        <w:rPr>
          <w:rtl/>
        </w:rPr>
        <w:t>–</w:t>
      </w:r>
      <w:r>
        <w:rPr>
          <w:rFonts w:hint="cs"/>
          <w:rtl/>
        </w:rPr>
        <w:t xml:space="preserve"> 1997م، تحقيق: نبيل محمد عبد العزيز أحمد.</w:t>
      </w:r>
    </w:p>
  </w:footnote>
  <w:footnote w:id="2">
    <w:p w:rsidR="00BA2736" w:rsidRDefault="00BA2736" w:rsidP="00BA2736">
      <w:pPr>
        <w:pStyle w:val="a3"/>
      </w:pPr>
      <w:r>
        <w:rPr>
          <w:rStyle w:val="a4"/>
        </w:rPr>
        <w:footnoteRef/>
      </w:r>
      <w:r>
        <w:rPr>
          <w:rtl/>
        </w:rPr>
        <w:t xml:space="preserve"> </w:t>
      </w:r>
      <w:r>
        <w:rPr>
          <w:rFonts w:hint="cs"/>
          <w:rtl/>
        </w:rPr>
        <w:t xml:space="preserve">حسن السلوك الحافظ دولة الملوك ج1/ص70، تأليف: محمد بن محمد بن عبد الكريم الموصلي الشافعي، دار النشر: دار الوطن </w:t>
      </w:r>
      <w:r>
        <w:rPr>
          <w:rtl/>
        </w:rPr>
        <w:t>–</w:t>
      </w:r>
      <w:r>
        <w:rPr>
          <w:rFonts w:hint="cs"/>
          <w:rtl/>
        </w:rPr>
        <w:t xml:space="preserve"> الرياض </w:t>
      </w:r>
      <w:r>
        <w:rPr>
          <w:rtl/>
        </w:rPr>
        <w:t>–</w:t>
      </w:r>
      <w:r>
        <w:rPr>
          <w:rFonts w:hint="cs"/>
          <w:rtl/>
        </w:rPr>
        <w:t xml:space="preserve"> 1416هـ، تحقيق: فؤاد عبد المنعم أحمد.</w:t>
      </w:r>
    </w:p>
  </w:footnote>
  <w:footnote w:id="3">
    <w:p w:rsidR="00BA2736" w:rsidRDefault="00BA2736" w:rsidP="00BA2736">
      <w:pPr>
        <w:pStyle w:val="a3"/>
      </w:pPr>
      <w:r>
        <w:rPr>
          <w:rStyle w:val="a4"/>
        </w:rPr>
        <w:footnoteRef/>
      </w:r>
      <w:r>
        <w:rPr>
          <w:rtl/>
        </w:rPr>
        <w:t xml:space="preserve"> </w:t>
      </w:r>
      <w:r>
        <w:rPr>
          <w:rFonts w:hint="cs"/>
          <w:rtl/>
        </w:rPr>
        <w:t xml:space="preserve">حسن السلوك الحافظ دولة الملوك ج1/ص 71 </w:t>
      </w:r>
      <w:r>
        <w:rPr>
          <w:rtl/>
        </w:rPr>
        <w:t>–</w:t>
      </w:r>
      <w:r>
        <w:rPr>
          <w:rFonts w:hint="cs"/>
          <w:rtl/>
        </w:rPr>
        <w:t xml:space="preserve"> 79.</w:t>
      </w:r>
    </w:p>
  </w:footnote>
  <w:footnote w:id="4">
    <w:p w:rsidR="00BA2736" w:rsidRDefault="00BA2736" w:rsidP="00BA2736">
      <w:pPr>
        <w:pStyle w:val="a3"/>
      </w:pPr>
      <w:r>
        <w:rPr>
          <w:rStyle w:val="a4"/>
        </w:rPr>
        <w:footnoteRef/>
      </w:r>
      <w:r>
        <w:rPr>
          <w:rtl/>
        </w:rPr>
        <w:t xml:space="preserve"> </w:t>
      </w:r>
      <w:r>
        <w:rPr>
          <w:rFonts w:hint="cs"/>
          <w:rtl/>
        </w:rPr>
        <w:t>شرح العقيدة الطحاوية ج1/ص432.</w:t>
      </w:r>
    </w:p>
  </w:footnote>
  <w:footnote w:id="5">
    <w:p w:rsidR="00BA2736" w:rsidRDefault="00BA2736" w:rsidP="00BA2736">
      <w:pPr>
        <w:pStyle w:val="a3"/>
      </w:pPr>
      <w:r>
        <w:rPr>
          <w:rStyle w:val="a4"/>
        </w:rPr>
        <w:footnoteRef/>
      </w:r>
      <w:r>
        <w:rPr>
          <w:rtl/>
        </w:rPr>
        <w:t xml:space="preserve"> </w:t>
      </w:r>
      <w:r>
        <w:rPr>
          <w:rFonts w:hint="cs"/>
          <w:rtl/>
        </w:rPr>
        <w:t xml:space="preserve">الفروق أو أنوار البروق في أنواء الفروق ( مع الهوامش ) ج1/ص226، تأليف: أبو العباس أحمد بن إدريس الصنهاجي القرافي، دار النشر: دار الكتب العلمية </w:t>
      </w:r>
      <w:r>
        <w:rPr>
          <w:rtl/>
        </w:rPr>
        <w:t>–</w:t>
      </w:r>
      <w:r>
        <w:rPr>
          <w:rFonts w:hint="cs"/>
          <w:rtl/>
        </w:rPr>
        <w:t xml:space="preserve"> بيروت </w:t>
      </w:r>
      <w:r>
        <w:rPr>
          <w:rtl/>
        </w:rPr>
        <w:t>–</w:t>
      </w:r>
      <w:r>
        <w:rPr>
          <w:rFonts w:hint="cs"/>
          <w:rtl/>
        </w:rPr>
        <w:t xml:space="preserve"> 1418هـ - 1998م ، الطبعة: الأولى: تحقيق: خليل المنصور.</w:t>
      </w:r>
    </w:p>
  </w:footnote>
  <w:footnote w:id="6">
    <w:p w:rsidR="00BA2736" w:rsidRDefault="00BA2736" w:rsidP="00BA2736">
      <w:pPr>
        <w:pStyle w:val="a3"/>
        <w:rPr>
          <w:rtl/>
        </w:rPr>
      </w:pPr>
      <w:r>
        <w:rPr>
          <w:rStyle w:val="a4"/>
        </w:rPr>
        <w:footnoteRef/>
      </w:r>
      <w:r>
        <w:rPr>
          <w:rtl/>
        </w:rPr>
        <w:t xml:space="preserve"> </w:t>
      </w:r>
      <w:r>
        <w:rPr>
          <w:rFonts w:hint="cs"/>
          <w:rtl/>
        </w:rPr>
        <w:t>المستدرك على الصحيحين ج2/319 رقم 3148.</w:t>
      </w:r>
    </w:p>
  </w:footnote>
  <w:footnote w:id="7">
    <w:p w:rsidR="00BA2736" w:rsidRDefault="00BA2736" w:rsidP="00BA2736">
      <w:pPr>
        <w:pStyle w:val="a3"/>
      </w:pPr>
      <w:r>
        <w:rPr>
          <w:rStyle w:val="a4"/>
        </w:rPr>
        <w:footnoteRef/>
      </w:r>
      <w:r>
        <w:rPr>
          <w:rtl/>
        </w:rPr>
        <w:t xml:space="preserve"> </w:t>
      </w:r>
      <w:r>
        <w:rPr>
          <w:rFonts w:hint="cs"/>
          <w:rtl/>
        </w:rPr>
        <w:t xml:space="preserve">جامع العلوم والحكم في شرح خمسين حديثا من جوامع الكلم ج1/ص75، تأليف: زين الدين أبي الفرج عبد الرحمن بن شهاب الدين البغدادي، دار النشر: مؤسسة الرسالة </w:t>
      </w:r>
      <w:r>
        <w:rPr>
          <w:rtl/>
        </w:rPr>
        <w:t>–</w:t>
      </w:r>
      <w:r>
        <w:rPr>
          <w:rFonts w:hint="cs"/>
          <w:rtl/>
        </w:rPr>
        <w:t xml:space="preserve"> بيروت </w:t>
      </w:r>
      <w:r>
        <w:rPr>
          <w:rtl/>
        </w:rPr>
        <w:t>–</w:t>
      </w:r>
      <w:r>
        <w:rPr>
          <w:rFonts w:hint="cs"/>
          <w:rtl/>
        </w:rPr>
        <w:t xml:space="preserve"> 1417 هـ - 1997م، الطبعة: السابعة، تحقيق: شعيب الأرناؤوط/ إبراهيم باجس.</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736"/>
    <w:rsid w:val="000B53FE"/>
    <w:rsid w:val="00392415"/>
    <w:rsid w:val="00BA2736"/>
    <w:rsid w:val="00BB58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736"/>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BA2736"/>
    <w:pPr>
      <w:spacing w:after="0" w:line="240" w:lineRule="auto"/>
    </w:pPr>
    <w:rPr>
      <w:sz w:val="20"/>
      <w:szCs w:val="20"/>
    </w:rPr>
  </w:style>
  <w:style w:type="character" w:customStyle="1" w:styleId="Char">
    <w:name w:val="نص حاشية سفلية Char"/>
    <w:basedOn w:val="a0"/>
    <w:link w:val="a3"/>
    <w:uiPriority w:val="99"/>
    <w:semiHidden/>
    <w:rsid w:val="00BA2736"/>
    <w:rPr>
      <w:sz w:val="20"/>
      <w:szCs w:val="20"/>
    </w:rPr>
  </w:style>
  <w:style w:type="character" w:styleId="a4">
    <w:name w:val="footnote reference"/>
    <w:basedOn w:val="a0"/>
    <w:uiPriority w:val="99"/>
    <w:semiHidden/>
    <w:unhideWhenUsed/>
    <w:rsid w:val="00BA273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736"/>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semiHidden/>
    <w:unhideWhenUsed/>
    <w:rsid w:val="00BA2736"/>
    <w:pPr>
      <w:spacing w:after="0" w:line="240" w:lineRule="auto"/>
    </w:pPr>
    <w:rPr>
      <w:sz w:val="20"/>
      <w:szCs w:val="20"/>
    </w:rPr>
  </w:style>
  <w:style w:type="character" w:customStyle="1" w:styleId="Char">
    <w:name w:val="نص حاشية سفلية Char"/>
    <w:basedOn w:val="a0"/>
    <w:link w:val="a3"/>
    <w:uiPriority w:val="99"/>
    <w:semiHidden/>
    <w:rsid w:val="00BA2736"/>
    <w:rPr>
      <w:sz w:val="20"/>
      <w:szCs w:val="20"/>
    </w:rPr>
  </w:style>
  <w:style w:type="character" w:styleId="a4">
    <w:name w:val="footnote reference"/>
    <w:basedOn w:val="a0"/>
    <w:uiPriority w:val="99"/>
    <w:semiHidden/>
    <w:unhideWhenUsed/>
    <w:rsid w:val="00BA273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492</Words>
  <Characters>2810</Characters>
  <Application>Microsoft Office Word</Application>
  <DocSecurity>0</DocSecurity>
  <Lines>23</Lines>
  <Paragraphs>6</Paragraphs>
  <ScaleCrop>false</ScaleCrop>
  <Company>Ahmed-Under</Company>
  <LinksUpToDate>false</LinksUpToDate>
  <CharactersWithSpaces>3296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2020-12-05T15:04:00Z</dcterms:created>
  <dcterms:modified xsi:type="dcterms:W3CDTF">2020-12-05T15:05:00Z</dcterms:modified>
</cp:coreProperties>
</file>