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B0" w:rsidRPr="00BF5345" w:rsidRDefault="00427FB0" w:rsidP="00427FB0">
      <w:pPr>
        <w:rPr>
          <w:rFonts w:ascii="Arabic Typesetting" w:hAnsi="Arabic Typesetting" w:cs="Arabic Typesetting"/>
          <w:b/>
          <w:bCs/>
          <w:sz w:val="96"/>
          <w:szCs w:val="96"/>
          <w:rtl/>
        </w:rPr>
      </w:pPr>
      <w:r w:rsidRPr="00BF5345">
        <w:rPr>
          <w:rFonts w:ascii="Arabic Typesetting" w:hAnsi="Arabic Typesetting" w:cs="Arabic Typesetting"/>
          <w:b/>
          <w:bCs/>
          <w:sz w:val="96"/>
          <w:szCs w:val="96"/>
          <w:rtl/>
        </w:rPr>
        <w:t xml:space="preserve">بسم الله ، والحمد لله ،والصلاة والسلام على رسول الله ،وبعد : فهذه </w:t>
      </w:r>
    </w:p>
    <w:p w:rsidR="00427FB0" w:rsidRPr="00BF5345" w:rsidRDefault="00427FB0" w:rsidP="00427FB0">
      <w:pPr>
        <w:rPr>
          <w:rFonts w:ascii="Arabic Typesetting" w:hAnsi="Arabic Typesetting" w:cs="Arabic Typesetting"/>
          <w:b/>
          <w:bCs/>
          <w:sz w:val="96"/>
          <w:szCs w:val="96"/>
          <w:rtl/>
        </w:rPr>
      </w:pPr>
      <w:r w:rsidRPr="00BF534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الثانية و</w:t>
      </w:r>
      <w:r w:rsidRPr="00BF5345">
        <w:rPr>
          <w:rFonts w:ascii="Arabic Typesetting" w:hAnsi="Arabic Typesetting" w:cs="Arabic Typesetting"/>
          <w:b/>
          <w:bCs/>
          <w:sz w:val="96"/>
          <w:szCs w:val="96"/>
          <w:rtl/>
        </w:rPr>
        <w:t>الثلاثون بعد الثلاثمائة في موضوع (الحفيظ) والتي هي</w:t>
      </w:r>
    </w:p>
    <w:p w:rsidR="00427FB0" w:rsidRPr="005E5842" w:rsidRDefault="00427FB0" w:rsidP="00427FB0">
      <w:pPr>
        <w:rPr>
          <w:rFonts w:ascii="Arabic Typesetting" w:hAnsi="Arabic Typesetting" w:cs="Arabic Typesetting"/>
          <w:b/>
          <w:bCs/>
          <w:sz w:val="96"/>
          <w:szCs w:val="96"/>
          <w:rtl/>
        </w:rPr>
      </w:pPr>
      <w:r w:rsidRPr="00BF5345">
        <w:rPr>
          <w:rFonts w:ascii="Arabic Typesetting" w:hAnsi="Arabic Typesetting" w:cs="Arabic Typesetting"/>
          <w:b/>
          <w:bCs/>
          <w:sz w:val="96"/>
          <w:szCs w:val="96"/>
          <w:rtl/>
        </w:rPr>
        <w:t xml:space="preserve"> بعنوان:*حفظ الحقوق في الشريعة … “البينات نموذجاً” :           </w:t>
      </w:r>
    </w:p>
    <w:p w:rsidR="00427FB0" w:rsidRPr="005E5842"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وقد راعت الشريعة الحق في القتل من جانب آخر حيث تأكد وجوده، ولم يتبين وجه فعله، فحملته على الخطأ، وأوجبت في الدية والكفارة كما في قوله سبحانه: </w:t>
      </w:r>
      <w:r w:rsidRPr="005E5842">
        <w:rPr>
          <w:rFonts w:ascii="Arabic Typesetting" w:hAnsi="Arabic Typesetting" w:cs="Arabic Typesetting"/>
          <w:b/>
          <w:bCs/>
          <w:sz w:val="96"/>
          <w:szCs w:val="96"/>
          <w:rtl/>
        </w:rPr>
        <w:lastRenderedPageBreak/>
        <w:t xml:space="preserve">{وَمَا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[النساء: 92]. كما جعلت مخرجا آخر للقتل العمد لمن ليس متشوقا للقصاص ولا طالبا له، وهو خيار العفو أو أخذ </w:t>
      </w:r>
      <w:r w:rsidRPr="005E5842">
        <w:rPr>
          <w:rFonts w:ascii="Arabic Typesetting" w:hAnsi="Arabic Typesetting" w:cs="Arabic Typesetting"/>
          <w:b/>
          <w:bCs/>
          <w:sz w:val="96"/>
          <w:szCs w:val="96"/>
          <w:rtl/>
        </w:rPr>
        <w:lastRenderedPageBreak/>
        <w:t>الدية كما قال الله سبحانه: {يَا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 [البقرة: 178]. وهذا من الشريعة حفظ لحق آخر وهو حق الأخوة والمودة بين المسلمين، وتفويت الفرصة على أصحاب الثارات والنعرات الخطيرة التي قد تفتت المجتمعات وتفكك نسيجها.</w:t>
      </w:r>
    </w:p>
    <w:p w:rsidR="00427FB0" w:rsidRPr="005E5842"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أما حقوق الله عز وجل في الحدود فأمرها واضح، فإنها وإن ثبتت على الشخص فإما أن يتوب فلا شيء عليه، وإما أن يصر فحقه القتل كما في حد الردة والسحر وغيرهما، وبالنسبة للحقوق الأخرى المالية والبدنية مما لا يترتب عليه حد، فالبينات في الشريعة التي تحفظ الحقوق فيها متقاربة؛ لأن الشريعة راعت فيها جانبين مهمين هما:</w:t>
      </w:r>
    </w:p>
    <w:p w:rsidR="00427FB0" w:rsidRPr="005E5842"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الجانب الأول: من يمكنه الاطلاع عليها.</w:t>
      </w:r>
    </w:p>
    <w:p w:rsidR="00427FB0" w:rsidRPr="005E5842"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والجانب الثاني: إمكانية الخصومة فيها؛ فلذلك قبلت فيها النساء وقبلت فيها غيرهم، بل جعلت البينة فيها مسألة اعتبارية تتعلق بضمير المؤمن وإيمانه؛ كاليمين مما يمكن أن تثبت به، وهذا تفصيلها:</w:t>
      </w:r>
    </w:p>
    <w:p w:rsidR="00427FB0"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فجعلت البينة رجلا وامرأتين في الأموال وحقوقها المتعلقة بالأبدان كالوكالة</w:t>
      </w:r>
    </w:p>
    <w:p w:rsidR="00427FB0" w:rsidRPr="005E5842"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والشهادة على الوصية[المعونة للقاضي عبد الوهاب (3/ 105).</w:t>
      </w:r>
      <w:r w:rsidRPr="005E5842">
        <w:rPr>
          <w:rFonts w:ascii="Arabic Typesetting" w:hAnsi="Arabic Typesetting" w:cs="Arabic Typesetting" w:hint="cs"/>
          <w:b/>
          <w:bCs/>
          <w:sz w:val="96"/>
          <w:szCs w:val="96"/>
          <w:rtl/>
        </w:rPr>
        <w:t>]</w:t>
      </w:r>
    </w:p>
    <w:p w:rsidR="00427FB0" w:rsidRPr="005E5842"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والشاهد واليمين في الأموال.</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والمرأتين واليمين في الأموال كذلك.</w:t>
      </w:r>
      <w:r w:rsidRPr="005E5842">
        <w:rPr>
          <w:rFonts w:ascii="Arabic Typesetting" w:hAnsi="Arabic Typesetting" w:cs="Arabic Typesetting" w:hint="cs"/>
          <w:b/>
          <w:bCs/>
          <w:sz w:val="96"/>
          <w:szCs w:val="96"/>
          <w:rtl/>
        </w:rPr>
        <w:t xml:space="preserve"> </w:t>
      </w:r>
      <w:proofErr w:type="spellStart"/>
      <w:r w:rsidRPr="005E5842">
        <w:rPr>
          <w:rFonts w:ascii="Arabic Typesetting" w:hAnsi="Arabic Typesetting" w:cs="Arabic Typesetting"/>
          <w:b/>
          <w:bCs/>
          <w:sz w:val="96"/>
          <w:szCs w:val="96"/>
          <w:rtl/>
        </w:rPr>
        <w:t>والنكول</w:t>
      </w:r>
      <w:proofErr w:type="spellEnd"/>
      <w:r w:rsidRPr="005E5842">
        <w:rPr>
          <w:rFonts w:ascii="Arabic Typesetting" w:hAnsi="Arabic Typesetting" w:cs="Arabic Typesetting"/>
          <w:b/>
          <w:bCs/>
          <w:sz w:val="96"/>
          <w:szCs w:val="96"/>
          <w:rtl/>
        </w:rPr>
        <w:t xml:space="preserve"> في الأموال وما يقصد به المال فقط[الطرق الحكمية في السياسة الشرعية (ص: 116).</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والمرأتين فقط في عيوب النساء وما لا يطلع عليه إلا النساء كالولادة والاستهلال صارخا.</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والمرأتين مع الظهور والاشتهار ففي الرضاع[التلقين للقاضي عبد الوهاب (ص: 261).</w:t>
      </w:r>
      <w:r w:rsidRPr="005E5842">
        <w:rPr>
          <w:rFonts w:ascii="Arabic Typesetting" w:hAnsi="Arabic Typesetting" w:cs="Arabic Typesetting" w:hint="cs"/>
          <w:b/>
          <w:bCs/>
          <w:sz w:val="96"/>
          <w:szCs w:val="96"/>
          <w:rtl/>
        </w:rPr>
        <w:t>]</w:t>
      </w:r>
    </w:p>
    <w:p w:rsidR="00427FB0"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وعند انعدام هذه البينات يتبع القاضي القرائن وما يقوم مقامها، والأصل </w:t>
      </w:r>
    </w:p>
    <w:p w:rsidR="00427FB0" w:rsidRDefault="00427FB0" w:rsidP="00427FB0">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في الحكم بالقرائن قوله سبحانه: {قَالَ هِيَ رَاوَدَتْنِي عَن نَّفْسِي وَشَهِدَ شَاهِدٌ مِّنْ أَهْلِهَا إِن كَانَ قَمِيصُهُ قُدَّ مِن قُبُلٍ فَصَدَقَتْ وَهُو</w:t>
      </w:r>
      <w:r>
        <w:rPr>
          <w:rFonts w:ascii="Arabic Typesetting" w:hAnsi="Arabic Typesetting" w:cs="Arabic Typesetting"/>
          <w:b/>
          <w:bCs/>
          <w:sz w:val="96"/>
          <w:szCs w:val="96"/>
          <w:rtl/>
        </w:rPr>
        <w:t xml:space="preserve">َ مِنَ الكَاذِبِين} </w:t>
      </w:r>
      <w:r w:rsidRPr="001836BF">
        <w:rPr>
          <w:rFonts w:ascii="Arabic Typesetting" w:hAnsi="Arabic Typesetting" w:cs="Arabic Typesetting"/>
          <w:b/>
          <w:bCs/>
          <w:sz w:val="88"/>
          <w:szCs w:val="88"/>
          <w:rtl/>
        </w:rPr>
        <w:t>[يوسف: 26]</w:t>
      </w:r>
      <w:r>
        <w:rPr>
          <w:rFonts w:ascii="Arabic Typesetting" w:hAnsi="Arabic Typesetting" w:cs="Arabic Typesetting"/>
          <w:b/>
          <w:bCs/>
          <w:sz w:val="96"/>
          <w:szCs w:val="96"/>
          <w:rtl/>
        </w:rPr>
        <w:t>،</w:t>
      </w:r>
      <w:r w:rsidRPr="005E5842">
        <w:rPr>
          <w:rFonts w:ascii="Arabic Typesetting" w:hAnsi="Arabic Typesetting" w:cs="Arabic Typesetting"/>
          <w:b/>
          <w:bCs/>
          <w:sz w:val="96"/>
          <w:szCs w:val="96"/>
          <w:rtl/>
        </w:rPr>
        <w:t xml:space="preserve">{وَإِنْ كَانَ قَمِيصُهُ قُدَّ مِن دُبُرٍ فَكَذَبَتْ وَهُوَ مِن الصَّادِقِين} [يوسف: 27]. كما حكم باللوث في الأموال وجعله أمارة كما في قوله سبحانه وتعالى: {يَا أَيُّهَا الَّذِينَ آمَنُواْ </w:t>
      </w:r>
      <w:r w:rsidRPr="005E5842">
        <w:rPr>
          <w:rFonts w:ascii="Arabic Typesetting" w:hAnsi="Arabic Typesetting" w:cs="Arabic Typesetting"/>
          <w:b/>
          <w:bCs/>
          <w:sz w:val="96"/>
          <w:szCs w:val="96"/>
          <w:rtl/>
        </w:rPr>
        <w:lastRenderedPageBreak/>
        <w:t>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[المائدة: 106]. فهذا لوث في المال حكم به[ينظر: الطرق الحكمية في السياسة الشرعية (ص: 6).</w:t>
      </w:r>
      <w:r w:rsidRPr="005E5842">
        <w:rPr>
          <w:rFonts w:ascii="Arabic Typesetting" w:hAnsi="Arabic Typesetting" w:cs="Arabic Typesetting" w:hint="cs"/>
          <w:b/>
          <w:bCs/>
          <w:sz w:val="96"/>
          <w:szCs w:val="96"/>
          <w:rtl/>
        </w:rPr>
        <w:t>]</w:t>
      </w:r>
    </w:p>
    <w:p w:rsidR="00427FB0" w:rsidRPr="001836BF" w:rsidRDefault="00427FB0" w:rsidP="00427FB0">
      <w:pPr>
        <w:rPr>
          <w:rFonts w:ascii="Arabic Typesetting" w:hAnsi="Arabic Typesetting" w:cs="Arabic Typesetting"/>
          <w:b/>
          <w:bCs/>
          <w:sz w:val="96"/>
          <w:szCs w:val="96"/>
          <w:rtl/>
        </w:rPr>
      </w:pPr>
      <w:r w:rsidRPr="001836BF">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223150" w:rsidRDefault="00223150">
      <w:bookmarkStart w:id="0" w:name="_GoBack"/>
      <w:bookmarkEnd w:id="0"/>
    </w:p>
    <w:sectPr w:rsidR="0022315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FFB" w:rsidRDefault="00C73FFB" w:rsidP="00427FB0">
      <w:pPr>
        <w:spacing w:after="0" w:line="240" w:lineRule="auto"/>
      </w:pPr>
      <w:r>
        <w:separator/>
      </w:r>
    </w:p>
  </w:endnote>
  <w:endnote w:type="continuationSeparator" w:id="0">
    <w:p w:rsidR="00C73FFB" w:rsidRDefault="00C73FFB" w:rsidP="0042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4491343"/>
      <w:docPartObj>
        <w:docPartGallery w:val="Page Numbers (Bottom of Page)"/>
        <w:docPartUnique/>
      </w:docPartObj>
    </w:sdtPr>
    <w:sdtContent>
      <w:p w:rsidR="00427FB0" w:rsidRDefault="00427FB0">
        <w:pPr>
          <w:pStyle w:val="a4"/>
          <w:jc w:val="center"/>
        </w:pPr>
        <w:r>
          <w:fldChar w:fldCharType="begin"/>
        </w:r>
        <w:r>
          <w:instrText>PAGE   \* MERGEFORMAT</w:instrText>
        </w:r>
        <w:r>
          <w:fldChar w:fldCharType="separate"/>
        </w:r>
        <w:r w:rsidRPr="00427FB0">
          <w:rPr>
            <w:noProof/>
            <w:rtl/>
            <w:lang w:val="ar-SA"/>
          </w:rPr>
          <w:t>9</w:t>
        </w:r>
        <w:r>
          <w:fldChar w:fldCharType="end"/>
        </w:r>
      </w:p>
    </w:sdtContent>
  </w:sdt>
  <w:p w:rsidR="00427FB0" w:rsidRDefault="00427F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FFB" w:rsidRDefault="00C73FFB" w:rsidP="00427FB0">
      <w:pPr>
        <w:spacing w:after="0" w:line="240" w:lineRule="auto"/>
      </w:pPr>
      <w:r>
        <w:separator/>
      </w:r>
    </w:p>
  </w:footnote>
  <w:footnote w:type="continuationSeparator" w:id="0">
    <w:p w:rsidR="00C73FFB" w:rsidRDefault="00C73FFB" w:rsidP="00427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B0"/>
    <w:rsid w:val="00223150"/>
    <w:rsid w:val="00427FB0"/>
    <w:rsid w:val="00BB584D"/>
    <w:rsid w:val="00C73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7FB0"/>
    <w:pPr>
      <w:tabs>
        <w:tab w:val="center" w:pos="4153"/>
        <w:tab w:val="right" w:pos="8306"/>
      </w:tabs>
      <w:spacing w:after="0" w:line="240" w:lineRule="auto"/>
    </w:pPr>
  </w:style>
  <w:style w:type="character" w:customStyle="1" w:styleId="Char">
    <w:name w:val="رأس الصفحة Char"/>
    <w:basedOn w:val="a0"/>
    <w:link w:val="a3"/>
    <w:uiPriority w:val="99"/>
    <w:rsid w:val="00427FB0"/>
    <w:rPr>
      <w:rFonts w:cs="Arial"/>
    </w:rPr>
  </w:style>
  <w:style w:type="paragraph" w:styleId="a4">
    <w:name w:val="footer"/>
    <w:basedOn w:val="a"/>
    <w:link w:val="Char0"/>
    <w:uiPriority w:val="99"/>
    <w:unhideWhenUsed/>
    <w:rsid w:val="00427FB0"/>
    <w:pPr>
      <w:tabs>
        <w:tab w:val="center" w:pos="4153"/>
        <w:tab w:val="right" w:pos="8306"/>
      </w:tabs>
      <w:spacing w:after="0" w:line="240" w:lineRule="auto"/>
    </w:pPr>
  </w:style>
  <w:style w:type="character" w:customStyle="1" w:styleId="Char0">
    <w:name w:val="تذييل الصفحة Char"/>
    <w:basedOn w:val="a0"/>
    <w:link w:val="a4"/>
    <w:uiPriority w:val="99"/>
    <w:rsid w:val="00427FB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B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7FB0"/>
    <w:pPr>
      <w:tabs>
        <w:tab w:val="center" w:pos="4153"/>
        <w:tab w:val="right" w:pos="8306"/>
      </w:tabs>
      <w:spacing w:after="0" w:line="240" w:lineRule="auto"/>
    </w:pPr>
  </w:style>
  <w:style w:type="character" w:customStyle="1" w:styleId="Char">
    <w:name w:val="رأس الصفحة Char"/>
    <w:basedOn w:val="a0"/>
    <w:link w:val="a3"/>
    <w:uiPriority w:val="99"/>
    <w:rsid w:val="00427FB0"/>
    <w:rPr>
      <w:rFonts w:cs="Arial"/>
    </w:rPr>
  </w:style>
  <w:style w:type="paragraph" w:styleId="a4">
    <w:name w:val="footer"/>
    <w:basedOn w:val="a"/>
    <w:link w:val="Char0"/>
    <w:uiPriority w:val="99"/>
    <w:unhideWhenUsed/>
    <w:rsid w:val="00427FB0"/>
    <w:pPr>
      <w:tabs>
        <w:tab w:val="center" w:pos="4153"/>
        <w:tab w:val="right" w:pos="8306"/>
      </w:tabs>
      <w:spacing w:after="0" w:line="240" w:lineRule="auto"/>
    </w:pPr>
  </w:style>
  <w:style w:type="character" w:customStyle="1" w:styleId="Char0">
    <w:name w:val="تذييل الصفحة Char"/>
    <w:basedOn w:val="a0"/>
    <w:link w:val="a4"/>
    <w:uiPriority w:val="99"/>
    <w:rsid w:val="00427FB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515</Words>
  <Characters>2939</Characters>
  <Application>Microsoft Office Word</Application>
  <DocSecurity>0</DocSecurity>
  <Lines>24</Lines>
  <Paragraphs>6</Paragraphs>
  <ScaleCrop>false</ScaleCrop>
  <Company>Ahmed-Under</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2021-03-17T19:51:00Z</dcterms:created>
  <dcterms:modified xsi:type="dcterms:W3CDTF">2021-03-17T19:52:00Z</dcterms:modified>
</cp:coreProperties>
</file>