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D" w:rsidRPr="00783991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837C6D" w:rsidRPr="00783991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سادسة</w:t>
      </w:r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837C6D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بعنوان:* {</w:t>
      </w:r>
      <w:proofErr w:type="spellStart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وَنُرِ</w:t>
      </w:r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دُ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 نَّمُنَّ عَلَى 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سۡتُضۡعِفُوا</w:t>
      </w:r>
      <w:proofErr w:type="spellEnd"/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۟</w:t>
      </w:r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فِ</w:t>
      </w:r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لۡأَرۡضِ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وَنَجۡعَلَهُمۡ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>أَىِٕمَّة</w:t>
      </w:r>
      <w:proofErr w:type="spellEnd"/>
      <w:r w:rsidRPr="00783991">
        <w:rPr>
          <w:rFonts w:ascii="Times New Roman" w:hAnsi="Times New Roman" w:cs="Times New Roman" w:hint="cs"/>
          <w:b/>
          <w:bCs/>
          <w:sz w:val="96"/>
          <w:szCs w:val="96"/>
          <w:rtl/>
        </w:rPr>
        <w:t>ࣰ</w:t>
      </w:r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وَنَجۡعَلَهُمُ</w:t>
      </w:r>
      <w:proofErr w:type="spellEnd"/>
      <w:r w:rsidRPr="007839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لۡوَ</w:t>
      </w:r>
      <w:proofErr w:type="spellEnd"/>
      <w:r w:rsidRPr="00783991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783991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78399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رِثِی</w:t>
      </w:r>
      <w:r w:rsidRPr="0078399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القول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تأويل قوله تعالى: ﴿وَوَرِثَ سُلَيْمَانُ دَاوُدَ وَقَالَ يَا أَيُّهَا النَّاسُ عُلِّمْنَا مَنْطِقَ الطَّيْرِ وَأُوتِينَا مِنْ كُلِّ</w:t>
      </w:r>
    </w:p>
    <w:p w:rsidR="00837C6D" w:rsidRPr="00750BC3" w:rsidRDefault="00837C6D" w:rsidP="00837C6D">
      <w:pPr>
        <w:rPr>
          <w:rFonts w:ascii="Arabic Typesetting" w:hAnsi="Arabic Typesetting" w:cs="Arabic Typesetting"/>
          <w:b/>
          <w:bCs/>
          <w:sz w:val="16"/>
          <w:szCs w:val="1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شَيْءٍ إِنَّ هَذَا لَهُوَ الْفَضْلُ الْمُبِينُ (١٦) ﴾</w:t>
      </w:r>
    </w:p>
    <w:p w:rsidR="00837C6D" w:rsidRPr="002C48CE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يقول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ذكره: ﴿وَوَرِثَ سُلَيْمَانُ﴾ أباه ﴿دَاودَ﴾ العلم الذي كان آتاه الله في حياته، والمُلك الذي كان خصه به على سائر قومه، فجعله له بعد أبيه داود دون سائر ولد أبيه ﴿وَقَالَ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يَاأَيُّهَا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النَّاسُ عُلِّمْنَا مَنْطِقَ الطَّيْرِ﴾ يقول: وقال سليمان لقومه: ي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أيها الناس علمنا منطق الطير، يعني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فهمنا كلامها؛ وجعل ذلك من الطير كمنطق الرجل من بني آدم إذ فهمه عنها.</w:t>
      </w:r>
    </w:p>
    <w:p w:rsidR="00837C6D" w:rsidRPr="002C48CE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حدثنا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القاسم،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ثنا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الحسين،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ثني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حجاج،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عن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أبي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معشر،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عن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محم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د بن كعب: ﴿وَقَالَ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يَاأَيُّهَا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النَّاسُ عُلِّمْنَا مَنْطِقَ الطَّيْرِ﴾ قال: بلغنا أن سليمان كان عسكره مائة فرسخ: خمسة وعشرون منها للإنس، وخمسة وعشرون للجنّ، وخمسة وعشرون للوحش، وخمسة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وعشرون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للطير، وكان له ألف بيت من قوارير على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الخشب؛ فيها ثلاث مائة صريحة، وسبع مائة سرية، فأمر الريح العاصف فرفعته، وأمر الرخاء فسيرته، فأوحى الله إليه وهو يسير بين السماء والأرض: إني قد أردت أنه لا يتكلم أحد من الخلائق بشيء إلا جاءت الريح فأخبرته. </w:t>
      </w:r>
    </w:p>
    <w:p w:rsidR="00837C6D" w:rsidRPr="0060328C" w:rsidRDefault="00837C6D" w:rsidP="00837C6D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﴿وَأُوتِينَا مِنْ كُلِّ شَيْءٍ﴾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يقول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وأعطينا ووهب لنا من كلّ شيء من الخيرات ﴿إِنَّ هَذَا لَهُوَ الْفَضْلُ الْمُبِينُ﴾ يقول: إن هذا الذي أوتينا من الخيرات لهو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الفضل على جميع أهل دهرنا المبين، يقول: الذي يبين لمن تأمَّله وتدبره أنه فضل أعطيناه على من سوانا من الناس.</w:t>
      </w:r>
      <w:r w:rsidRPr="002C48CE">
        <w:rPr>
          <w:sz w:val="96"/>
          <w:szCs w:val="96"/>
          <w:rtl/>
        </w:rPr>
        <w:t xml:space="preserve"> </w:t>
      </w:r>
      <w:r w:rsidRPr="0060328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[ </w:t>
      </w:r>
      <w:r w:rsidRPr="0060328C">
        <w:rPr>
          <w:rFonts w:ascii="Arabic Typesetting" w:hAnsi="Arabic Typesetting" w:cs="Arabic Typesetting"/>
          <w:b/>
          <w:bCs/>
          <w:sz w:val="44"/>
          <w:szCs w:val="44"/>
          <w:rtl/>
        </w:rPr>
        <w:t>الأنترنت – موقع جامع البيان — ابن جرير الطبري</w:t>
      </w:r>
      <w:r w:rsidRPr="0060328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]</w:t>
      </w:r>
    </w:p>
    <w:p w:rsidR="00837C6D" w:rsidRPr="002C48CE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قال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صديق حسن خان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(وورث سليمان داود) أي ورثه العلم والنبوة أو الكتب، دون باقي أولاده، قال قتادة والكلبي: كان لداود تسعة عشر ولداً ذكراً، فورث سليمان من بينهم نبوة، ولو كان المراد وراثة المال لم يخص سليمان بالذكر،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لأن جميع أولاده في ذلك سواء، وكذا قال جمهور المفسرين.</w:t>
      </w:r>
    </w:p>
    <w:p w:rsidR="00837C6D" w:rsidRPr="0060328C" w:rsidRDefault="00837C6D" w:rsidP="00837C6D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60328C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(وقال) سليمان لبني إسرائيل تحدثا بما أنعم الله به عليه، وشكر النعمة التي خصه بها (يا أيها الناس علمنا) الضمير فيه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وفي أوتينا لكل من داود وسليمان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.</w:t>
      </w:r>
      <w:r w:rsidRPr="0060328C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</w:p>
    <w:p w:rsidR="002A60F0" w:rsidRPr="00837C6D" w:rsidRDefault="00837C6D" w:rsidP="00837C6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837C6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5" w:rsidRDefault="008301B5" w:rsidP="00837C6D">
      <w:pPr>
        <w:spacing w:after="0" w:line="240" w:lineRule="auto"/>
      </w:pPr>
      <w:r>
        <w:separator/>
      </w:r>
    </w:p>
  </w:endnote>
  <w:endnote w:type="continuationSeparator" w:id="0">
    <w:p w:rsidR="008301B5" w:rsidRDefault="008301B5" w:rsidP="0083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3179305"/>
      <w:docPartObj>
        <w:docPartGallery w:val="Page Numbers (Bottom of Page)"/>
        <w:docPartUnique/>
      </w:docPartObj>
    </w:sdtPr>
    <w:sdtContent>
      <w:p w:rsidR="00837C6D" w:rsidRDefault="00837C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7C6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37C6D" w:rsidRDefault="00837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5" w:rsidRDefault="008301B5" w:rsidP="00837C6D">
      <w:pPr>
        <w:spacing w:after="0" w:line="240" w:lineRule="auto"/>
      </w:pPr>
      <w:r>
        <w:separator/>
      </w:r>
    </w:p>
  </w:footnote>
  <w:footnote w:type="continuationSeparator" w:id="0">
    <w:p w:rsidR="008301B5" w:rsidRDefault="008301B5" w:rsidP="0083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6D"/>
    <w:rsid w:val="002A60F0"/>
    <w:rsid w:val="008301B5"/>
    <w:rsid w:val="00837C6D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7C6D"/>
  </w:style>
  <w:style w:type="paragraph" w:styleId="a4">
    <w:name w:val="footer"/>
    <w:basedOn w:val="a"/>
    <w:link w:val="Char0"/>
    <w:uiPriority w:val="99"/>
    <w:unhideWhenUsed/>
    <w:rsid w:val="00837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7C6D"/>
  </w:style>
  <w:style w:type="paragraph" w:styleId="a4">
    <w:name w:val="footer"/>
    <w:basedOn w:val="a"/>
    <w:link w:val="Char0"/>
    <w:uiPriority w:val="99"/>
    <w:unhideWhenUsed/>
    <w:rsid w:val="00837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1796</Characters>
  <Application>Microsoft Office Word</Application>
  <DocSecurity>0</DocSecurity>
  <Lines>14</Lines>
  <Paragraphs>4</Paragraphs>
  <ScaleCrop>false</ScaleCrop>
  <Company>Ahmed-Under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2021-10-25T09:29:00Z</dcterms:created>
  <dcterms:modified xsi:type="dcterms:W3CDTF">2021-10-25T09:30:00Z</dcterms:modified>
</cp:coreProperties>
</file>