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89" w:rsidRPr="006007C8" w:rsidRDefault="00764489" w:rsidP="00764489">
      <w:pPr>
        <w:rPr>
          <w:rFonts w:ascii="Arabic Typesetting" w:hAnsi="Arabic Typesetting" w:cs="Arabic Typesetting"/>
          <w:b/>
          <w:bCs/>
          <w:sz w:val="96"/>
          <w:szCs w:val="96"/>
          <w:rtl/>
        </w:rPr>
      </w:pPr>
      <w:r w:rsidRPr="006007C8">
        <w:rPr>
          <w:rFonts w:ascii="Arabic Typesetting" w:hAnsi="Arabic Typesetting" w:cs="Arabic Typesetting"/>
          <w:b/>
          <w:bCs/>
          <w:sz w:val="96"/>
          <w:szCs w:val="96"/>
          <w:rtl/>
        </w:rPr>
        <w:t xml:space="preserve">بسم الله ، والحمد لله ،والصلاة والسلام على رسول الله ،وبعد : فهذه </w:t>
      </w:r>
    </w:p>
    <w:p w:rsidR="00764489" w:rsidRPr="006007C8" w:rsidRDefault="00764489" w:rsidP="00764489">
      <w:pPr>
        <w:rPr>
          <w:rFonts w:ascii="Arabic Typesetting" w:hAnsi="Arabic Typesetting" w:cs="Arabic Typesetting"/>
          <w:b/>
          <w:bCs/>
          <w:sz w:val="96"/>
          <w:szCs w:val="96"/>
          <w:rtl/>
        </w:rPr>
      </w:pPr>
      <w:r w:rsidRPr="006007C8">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6007C8">
        <w:rPr>
          <w:rFonts w:ascii="Arabic Typesetting" w:hAnsi="Arabic Typesetting" w:cs="Arabic Typesetting"/>
          <w:b/>
          <w:bCs/>
          <w:sz w:val="96"/>
          <w:szCs w:val="96"/>
          <w:rtl/>
        </w:rPr>
        <w:t xml:space="preserve"> والعشرون بعد الثلاثمائة في موضوع (الحفيظ) والتي هي</w:t>
      </w:r>
    </w:p>
    <w:p w:rsidR="00764489" w:rsidRDefault="00764489" w:rsidP="00764489">
      <w:pPr>
        <w:rPr>
          <w:rFonts w:ascii="Arabic Typesetting" w:hAnsi="Arabic Typesetting" w:cs="Arabic Typesetting"/>
          <w:b/>
          <w:bCs/>
          <w:sz w:val="96"/>
          <w:szCs w:val="96"/>
          <w:rtl/>
        </w:rPr>
      </w:pPr>
      <w:r w:rsidRPr="006007C8">
        <w:rPr>
          <w:rFonts w:ascii="Arabic Typesetting" w:hAnsi="Arabic Typesetting" w:cs="Arabic Typesetting"/>
          <w:b/>
          <w:bCs/>
          <w:sz w:val="96"/>
          <w:szCs w:val="96"/>
          <w:rtl/>
        </w:rPr>
        <w:t xml:space="preserve"> بعنوان:*حفظ الحقوق في الشريعة … “البينات نموذجاً” : </w:t>
      </w:r>
    </w:p>
    <w:p w:rsidR="00764489" w:rsidRPr="005E5842" w:rsidRDefault="00764489" w:rsidP="00764489">
      <w:pPr>
        <w:rPr>
          <w:rFonts w:ascii="Arabic Typesetting" w:hAnsi="Arabic Typesetting" w:cs="Arabic Typesetting"/>
          <w:b/>
          <w:bCs/>
          <w:sz w:val="96"/>
          <w:szCs w:val="96"/>
          <w:rtl/>
        </w:rPr>
      </w:pPr>
      <w:r w:rsidRPr="006007C8">
        <w:rPr>
          <w:rFonts w:ascii="Arabic Typesetting" w:hAnsi="Arabic Typesetting" w:cs="Arabic Typesetting"/>
          <w:b/>
          <w:bCs/>
          <w:sz w:val="96"/>
          <w:szCs w:val="96"/>
          <w:rtl/>
        </w:rPr>
        <w:t xml:space="preserve">لا تقبل الدعوى </w:t>
      </w:r>
      <w:r>
        <w:rPr>
          <w:rFonts w:ascii="Arabic Typesetting" w:hAnsi="Arabic Typesetting" w:cs="Arabic Typesetting" w:hint="cs"/>
          <w:b/>
          <w:bCs/>
          <w:sz w:val="96"/>
          <w:szCs w:val="96"/>
          <w:rtl/>
        </w:rPr>
        <w:t xml:space="preserve">في الحقوق </w:t>
      </w:r>
      <w:r w:rsidRPr="006007C8">
        <w:rPr>
          <w:rFonts w:ascii="Arabic Typesetting" w:hAnsi="Arabic Typesetting" w:cs="Arabic Typesetting"/>
          <w:b/>
          <w:bCs/>
          <w:sz w:val="96"/>
          <w:szCs w:val="96"/>
          <w:rtl/>
        </w:rPr>
        <w:t>إلا بشروط</w:t>
      </w:r>
      <w:r>
        <w:rPr>
          <w:rFonts w:ascii="Arabic Typesetting" w:hAnsi="Arabic Typesetting" w:cs="Arabic Typesetting" w:hint="cs"/>
          <w:b/>
          <w:bCs/>
          <w:sz w:val="96"/>
          <w:szCs w:val="96"/>
          <w:rtl/>
        </w:rPr>
        <w:t xml:space="preserve"> :</w:t>
      </w:r>
      <w:r w:rsidRPr="006007C8">
        <w:rPr>
          <w:rFonts w:ascii="Arabic Typesetting" w:hAnsi="Arabic Typesetting" w:cs="Arabic Typesetting"/>
          <w:b/>
          <w:bCs/>
          <w:sz w:val="96"/>
          <w:szCs w:val="96"/>
          <w:rtl/>
        </w:rPr>
        <w:t xml:space="preserve">        </w:t>
      </w:r>
    </w:p>
    <w:p w:rsidR="00764489" w:rsidRPr="005E5842" w:rsidRDefault="00764489" w:rsidP="0076448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الثالث: أن تكون مما يتعلق به حكم أو غرض صحيح بخلاف ما إذا استحلف المدعى عليه الشهود أنهم ما كذبوا أو </w:t>
      </w:r>
      <w:r w:rsidRPr="005E5842">
        <w:rPr>
          <w:rFonts w:ascii="Arabic Typesetting" w:hAnsi="Arabic Typesetting" w:cs="Arabic Typesetting"/>
          <w:b/>
          <w:bCs/>
          <w:sz w:val="96"/>
          <w:szCs w:val="96"/>
          <w:rtl/>
        </w:rPr>
        <w:lastRenderedPageBreak/>
        <w:t>استحلف القاضي أنه ما جار عليه[ينظر: التبصرة لابن فرحون (1/ 449).</w:t>
      </w:r>
      <w:r w:rsidRPr="005E5842">
        <w:rPr>
          <w:rFonts w:ascii="Arabic Typesetting" w:hAnsi="Arabic Typesetting" w:cs="Arabic Typesetting" w:hint="cs"/>
          <w:b/>
          <w:bCs/>
          <w:sz w:val="96"/>
          <w:szCs w:val="96"/>
          <w:rtl/>
        </w:rPr>
        <w:t>]</w:t>
      </w:r>
    </w:p>
    <w:p w:rsidR="00764489" w:rsidRDefault="00764489" w:rsidP="0076448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الرابع: أن تكون الدعوى محققة، أو مبنية على غلبة الظن، فلا تقبل </w:t>
      </w:r>
    </w:p>
    <w:p w:rsidR="00764489" w:rsidRPr="005E5842" w:rsidRDefault="00764489" w:rsidP="0076448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الدعوى المشكوك فيها.</w:t>
      </w:r>
    </w:p>
    <w:p w:rsidR="00764489" w:rsidRPr="005E5842" w:rsidRDefault="00764489" w:rsidP="0076448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الخامس: أن لا يشهد العرف والعادة بتكذيبها، فمثال ما شهدت العادة بتكذيبه دعوى الحاضر الأجنبي ملك دار بيد رجل وهو يراه يهدم ويبني ويؤجر مع طول الزمن من غير مانع يمنعه من الطلب </w:t>
      </w:r>
      <w:r w:rsidRPr="005E5842">
        <w:rPr>
          <w:rFonts w:ascii="Arabic Typesetting" w:hAnsi="Arabic Typesetting" w:cs="Arabic Typesetting"/>
          <w:b/>
          <w:bCs/>
          <w:sz w:val="96"/>
          <w:szCs w:val="96"/>
          <w:rtl/>
        </w:rPr>
        <w:lastRenderedPageBreak/>
        <w:t>من توقع رغبة أو رهبة، وكذلك لو ادعى رجل على آخر أنه ابنه وأحالت العادة أنه قريب منه في السن بحيث لا يتصور أن يكون ولده، أو كان المدعى عليه من أهل بلد لم يدخلها ذلك الرجل فلا تقبل دعواه، وما يكذبه العرف كالدعوى على الصالحين من طرف الفساق والفجرة أمورا تحيلها العادة؛ لبعد أهل الصلاح عنها[ينظر: المرجع السابق (1/ 451).</w:t>
      </w:r>
      <w:r w:rsidRPr="005E5842">
        <w:rPr>
          <w:rFonts w:ascii="Arabic Typesetting" w:hAnsi="Arabic Typesetting" w:cs="Arabic Typesetting" w:hint="cs"/>
          <w:b/>
          <w:bCs/>
          <w:sz w:val="96"/>
          <w:szCs w:val="96"/>
          <w:rtl/>
        </w:rPr>
        <w:t>]</w:t>
      </w:r>
    </w:p>
    <w:p w:rsidR="00764489" w:rsidRPr="00B0798F" w:rsidRDefault="00764489" w:rsidP="00764489">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lastRenderedPageBreak/>
        <w:t xml:space="preserve">فإذا استوفت الدعوى هذه الشروط المعتبرة شرعًا قبلت، وقبولها يعني أن الْمُدَّعَى عليه صار متّهما، ويطلب من الْمُدَّعِي إثبات البينة، وسوف يأتي تفصيلها لاحقًا، ومن الْمُدَّعَى عليه ردّها، أو الجواب عليها، فإن لم </w:t>
      </w:r>
      <w:r w:rsidRPr="00B0798F">
        <w:rPr>
          <w:rFonts w:ascii="Arabic Typesetting" w:hAnsi="Arabic Typesetting" w:cs="Arabic Typesetting"/>
          <w:b/>
          <w:bCs/>
          <w:sz w:val="86"/>
          <w:szCs w:val="86"/>
          <w:rtl/>
        </w:rPr>
        <w:t>يستطع الْمُدَّعِي إثبات دعواه ورفض الآخر رد الدعوى فإن التهمة تتوجه إليه.</w:t>
      </w:r>
    </w:p>
    <w:p w:rsidR="00764489" w:rsidRDefault="00764489" w:rsidP="0076448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استدل العلماء بجواز الحبس بالتهمة حفظًا للحقوق بقول الله تعالى: </w:t>
      </w:r>
    </w:p>
    <w:p w:rsidR="00764489" w:rsidRDefault="00764489" w:rsidP="0076448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 [المائدة: 106]. قال القرطبي رحمه الله: “وهذه الآية أصل في حبس من وجب عليه حق، والحقوق على قسمين: منها ما يصلح استيفاؤه معجلا، ومنها ما لا يمكن </w:t>
      </w:r>
      <w:r w:rsidRPr="005E5842">
        <w:rPr>
          <w:rFonts w:ascii="Arabic Typesetting" w:hAnsi="Arabic Typesetting" w:cs="Arabic Typesetting"/>
          <w:b/>
          <w:bCs/>
          <w:sz w:val="96"/>
          <w:szCs w:val="96"/>
          <w:rtl/>
        </w:rPr>
        <w:lastRenderedPageBreak/>
        <w:t xml:space="preserve">استيفاؤه إلا مؤجلا، فإن خلي من عليه الحق غاب واختفى وبطل الحق وتوي فلم يكن بد من التوثق منه، فإما بعوض عن الحق وهو المسمى رهنًا، وإما بشخص ينوب منابه في المطالبة والذمة وهو الحميل، وهو دون الأول؛ لأنه يجوز أن يغيب </w:t>
      </w:r>
      <w:proofErr w:type="spellStart"/>
      <w:r w:rsidRPr="005E5842">
        <w:rPr>
          <w:rFonts w:ascii="Arabic Typesetting" w:hAnsi="Arabic Typesetting" w:cs="Arabic Typesetting"/>
          <w:b/>
          <w:bCs/>
          <w:sz w:val="96"/>
          <w:szCs w:val="96"/>
          <w:rtl/>
        </w:rPr>
        <w:t>كمغيبه</w:t>
      </w:r>
      <w:proofErr w:type="spellEnd"/>
      <w:r w:rsidRPr="005E5842">
        <w:rPr>
          <w:rFonts w:ascii="Arabic Typesetting" w:hAnsi="Arabic Typesetting" w:cs="Arabic Typesetting"/>
          <w:b/>
          <w:bCs/>
          <w:sz w:val="96"/>
          <w:szCs w:val="96"/>
          <w:rtl/>
        </w:rPr>
        <w:t xml:space="preserve">، ويتعذر وجوده كتعذره، ولكن لا يمكن أكثر من هذا، فإن تعذرا جميعا لم يبق إلا التوثق بحبسه حتى تقع منه التوفية لما كان عليه من حق، أو تبين عسرته، فإن كان الحق بدنيًّا لا يقبل </w:t>
      </w:r>
      <w:r w:rsidRPr="005E5842">
        <w:rPr>
          <w:rFonts w:ascii="Arabic Typesetting" w:hAnsi="Arabic Typesetting" w:cs="Arabic Typesetting"/>
          <w:b/>
          <w:bCs/>
          <w:sz w:val="96"/>
          <w:szCs w:val="96"/>
          <w:rtl/>
        </w:rPr>
        <w:lastRenderedPageBreak/>
        <w:t xml:space="preserve">البدل كالحدود والقصاص ولم يتفق استيفاؤه معجلا لم يكن فيه إلا التوثق بسجنه، </w:t>
      </w:r>
    </w:p>
    <w:p w:rsidR="00764489" w:rsidRDefault="00764489" w:rsidP="0076448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ولأجل هذه الحكمة شرع السجن”[ تفسير القرطبي (6/ 352).</w:t>
      </w:r>
      <w:proofErr w:type="spellStart"/>
      <w:r w:rsidRPr="005E5842">
        <w:rPr>
          <w:rFonts w:ascii="Arabic Typesetting" w:hAnsi="Arabic Typesetting" w:cs="Arabic Typesetting" w:hint="cs"/>
          <w:b/>
          <w:bCs/>
          <w:sz w:val="96"/>
          <w:szCs w:val="96"/>
          <w:rtl/>
        </w:rPr>
        <w:t>ٍ</w:t>
      </w:r>
      <w:proofErr w:type="spellEnd"/>
      <w:r w:rsidRPr="005E5842">
        <w:rPr>
          <w:rFonts w:ascii="Arabic Typesetting" w:hAnsi="Arabic Typesetting" w:cs="Arabic Typesetting" w:hint="cs"/>
          <w:b/>
          <w:bCs/>
          <w:sz w:val="96"/>
          <w:szCs w:val="96"/>
          <w:rtl/>
        </w:rPr>
        <w:t>]</w:t>
      </w:r>
    </w:p>
    <w:p w:rsidR="00764489" w:rsidRPr="00B0798F" w:rsidRDefault="00764489" w:rsidP="00764489">
      <w:pPr>
        <w:rPr>
          <w:rFonts w:ascii="Arabic Typesetting" w:hAnsi="Arabic Typesetting" w:cs="Arabic Typesetting"/>
          <w:b/>
          <w:bCs/>
          <w:sz w:val="96"/>
          <w:szCs w:val="96"/>
          <w:rtl/>
        </w:rPr>
      </w:pPr>
      <w:r w:rsidRPr="00B0798F">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579" w:rsidRDefault="00B92579" w:rsidP="00764489">
      <w:pPr>
        <w:spacing w:after="0" w:line="240" w:lineRule="auto"/>
      </w:pPr>
      <w:r>
        <w:separator/>
      </w:r>
    </w:p>
  </w:endnote>
  <w:endnote w:type="continuationSeparator" w:id="0">
    <w:p w:rsidR="00B92579" w:rsidRDefault="00B92579" w:rsidP="0076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2362484"/>
      <w:docPartObj>
        <w:docPartGallery w:val="Page Numbers (Bottom of Page)"/>
        <w:docPartUnique/>
      </w:docPartObj>
    </w:sdtPr>
    <w:sdtContent>
      <w:p w:rsidR="00764489" w:rsidRDefault="00764489">
        <w:pPr>
          <w:pStyle w:val="a4"/>
          <w:jc w:val="center"/>
        </w:pPr>
        <w:r>
          <w:fldChar w:fldCharType="begin"/>
        </w:r>
        <w:r>
          <w:instrText>PAGE   \* MERGEFORMAT</w:instrText>
        </w:r>
        <w:r>
          <w:fldChar w:fldCharType="separate"/>
        </w:r>
        <w:r w:rsidRPr="00764489">
          <w:rPr>
            <w:noProof/>
            <w:rtl/>
            <w:lang w:val="ar-SA"/>
          </w:rPr>
          <w:t>7</w:t>
        </w:r>
        <w:r>
          <w:fldChar w:fldCharType="end"/>
        </w:r>
      </w:p>
    </w:sdtContent>
  </w:sdt>
  <w:p w:rsidR="00764489" w:rsidRDefault="007644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579" w:rsidRDefault="00B92579" w:rsidP="00764489">
      <w:pPr>
        <w:spacing w:after="0" w:line="240" w:lineRule="auto"/>
      </w:pPr>
      <w:r>
        <w:separator/>
      </w:r>
    </w:p>
  </w:footnote>
  <w:footnote w:type="continuationSeparator" w:id="0">
    <w:p w:rsidR="00B92579" w:rsidRDefault="00B92579" w:rsidP="00764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89"/>
    <w:rsid w:val="00223150"/>
    <w:rsid w:val="00764489"/>
    <w:rsid w:val="00B9257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489"/>
    <w:pPr>
      <w:tabs>
        <w:tab w:val="center" w:pos="4153"/>
        <w:tab w:val="right" w:pos="8306"/>
      </w:tabs>
      <w:spacing w:after="0" w:line="240" w:lineRule="auto"/>
    </w:pPr>
  </w:style>
  <w:style w:type="character" w:customStyle="1" w:styleId="Char">
    <w:name w:val="رأس الصفحة Char"/>
    <w:basedOn w:val="a0"/>
    <w:link w:val="a3"/>
    <w:uiPriority w:val="99"/>
    <w:rsid w:val="00764489"/>
    <w:rPr>
      <w:rFonts w:cs="Arial"/>
    </w:rPr>
  </w:style>
  <w:style w:type="paragraph" w:styleId="a4">
    <w:name w:val="footer"/>
    <w:basedOn w:val="a"/>
    <w:link w:val="Char0"/>
    <w:uiPriority w:val="99"/>
    <w:unhideWhenUsed/>
    <w:rsid w:val="00764489"/>
    <w:pPr>
      <w:tabs>
        <w:tab w:val="center" w:pos="4153"/>
        <w:tab w:val="right" w:pos="8306"/>
      </w:tabs>
      <w:spacing w:after="0" w:line="240" w:lineRule="auto"/>
    </w:pPr>
  </w:style>
  <w:style w:type="character" w:customStyle="1" w:styleId="Char0">
    <w:name w:val="تذييل الصفحة Char"/>
    <w:basedOn w:val="a0"/>
    <w:link w:val="a4"/>
    <w:uiPriority w:val="99"/>
    <w:rsid w:val="0076448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489"/>
    <w:pPr>
      <w:tabs>
        <w:tab w:val="center" w:pos="4153"/>
        <w:tab w:val="right" w:pos="8306"/>
      </w:tabs>
      <w:spacing w:after="0" w:line="240" w:lineRule="auto"/>
    </w:pPr>
  </w:style>
  <w:style w:type="character" w:customStyle="1" w:styleId="Char">
    <w:name w:val="رأس الصفحة Char"/>
    <w:basedOn w:val="a0"/>
    <w:link w:val="a3"/>
    <w:uiPriority w:val="99"/>
    <w:rsid w:val="00764489"/>
    <w:rPr>
      <w:rFonts w:cs="Arial"/>
    </w:rPr>
  </w:style>
  <w:style w:type="paragraph" w:styleId="a4">
    <w:name w:val="footer"/>
    <w:basedOn w:val="a"/>
    <w:link w:val="Char0"/>
    <w:uiPriority w:val="99"/>
    <w:unhideWhenUsed/>
    <w:rsid w:val="00764489"/>
    <w:pPr>
      <w:tabs>
        <w:tab w:val="center" w:pos="4153"/>
        <w:tab w:val="right" w:pos="8306"/>
      </w:tabs>
      <w:spacing w:after="0" w:line="240" w:lineRule="auto"/>
    </w:pPr>
  </w:style>
  <w:style w:type="character" w:customStyle="1" w:styleId="Char0">
    <w:name w:val="تذييل الصفحة Char"/>
    <w:basedOn w:val="a0"/>
    <w:link w:val="a4"/>
    <w:uiPriority w:val="99"/>
    <w:rsid w:val="0076448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372</Words>
  <Characters>2127</Characters>
  <Application>Microsoft Office Word</Application>
  <DocSecurity>0</DocSecurity>
  <Lines>17</Lines>
  <Paragraphs>4</Paragraphs>
  <ScaleCrop>false</ScaleCrop>
  <Company>Ahmed-Under</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2021-03-17T19:47:00Z</dcterms:created>
  <dcterms:modified xsi:type="dcterms:W3CDTF">2021-03-17T19:48:00Z</dcterms:modified>
</cp:coreProperties>
</file>