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A59" w:rsidRPr="00240A30" w:rsidRDefault="002C0A59" w:rsidP="002C0A59">
      <w:pPr>
        <w:rPr>
          <w:rFonts w:ascii="Arabic Typesetting" w:hAnsi="Arabic Typesetting" w:cs="Arabic Typesetting"/>
          <w:b/>
          <w:bCs/>
          <w:sz w:val="72"/>
          <w:szCs w:val="72"/>
          <w:rtl/>
        </w:rPr>
      </w:pPr>
      <w:bookmarkStart w:id="0" w:name="_GoBack"/>
      <w:r w:rsidRPr="00240A30">
        <w:rPr>
          <w:rFonts w:ascii="Arabic Typesetting" w:hAnsi="Arabic Typesetting" w:cs="Arabic Typesetting"/>
          <w:b/>
          <w:bCs/>
          <w:sz w:val="72"/>
          <w:szCs w:val="72"/>
          <w:rtl/>
        </w:rPr>
        <w:t xml:space="preserve">بسم الله والحمد لله والصلاة والسلام على رسول الله وبعد : فهذه </w:t>
      </w:r>
      <w:proofErr w:type="spellStart"/>
      <w:r w:rsidRPr="00240A30">
        <w:rPr>
          <w:rFonts w:ascii="Arabic Typesetting" w:hAnsi="Arabic Typesetting" w:cs="Arabic Typesetting"/>
          <w:b/>
          <w:bCs/>
          <w:sz w:val="72"/>
          <w:szCs w:val="72"/>
          <w:rtl/>
        </w:rPr>
        <w:t>الحلقة</w:t>
      </w:r>
      <w:r>
        <w:rPr>
          <w:rFonts w:ascii="Arabic Typesetting" w:hAnsi="Arabic Typesetting" w:cs="Arabic Typesetting" w:hint="cs"/>
          <w:b/>
          <w:bCs/>
          <w:sz w:val="72"/>
          <w:szCs w:val="72"/>
          <w:rtl/>
        </w:rPr>
        <w:t>السادسة</w:t>
      </w:r>
      <w:proofErr w:type="spellEnd"/>
      <w:r w:rsidRPr="00240A30">
        <w:rPr>
          <w:rFonts w:ascii="Arabic Typesetting" w:hAnsi="Arabic Typesetting" w:cs="Arabic Typesetting"/>
          <w:b/>
          <w:bCs/>
          <w:sz w:val="72"/>
          <w:szCs w:val="72"/>
          <w:rtl/>
        </w:rPr>
        <w:t xml:space="preserve"> بعد المائة في </w:t>
      </w:r>
    </w:p>
    <w:p w:rsidR="002C0A59" w:rsidRPr="00FD5308" w:rsidRDefault="002C0A59" w:rsidP="002C0A59">
      <w:pPr>
        <w:rPr>
          <w:rFonts w:ascii="Arabic Typesetting" w:hAnsi="Arabic Typesetting" w:cs="Arabic Typesetting"/>
          <w:b/>
          <w:bCs/>
          <w:sz w:val="72"/>
          <w:szCs w:val="72"/>
          <w:rtl/>
        </w:rPr>
      </w:pPr>
      <w:r w:rsidRPr="00240A30">
        <w:rPr>
          <w:rFonts w:ascii="Arabic Typesetting" w:hAnsi="Arabic Typesetting" w:cs="Arabic Typesetting"/>
          <w:b/>
          <w:bCs/>
          <w:sz w:val="72"/>
          <w:szCs w:val="72"/>
          <w:rtl/>
        </w:rPr>
        <w:t>موضوع (القوي ) وهي بعنوان : صلاح القلب وفساده يكون بقوة الإيمان وضعفه:</w:t>
      </w:r>
    </w:p>
    <w:p w:rsidR="002C0A59" w:rsidRPr="00FD5308" w:rsidRDefault="002C0A59" w:rsidP="002C0A59">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6- عدم أو ضعف التأثر بالآيات والمواعظ:</w:t>
      </w:r>
    </w:p>
    <w:p w:rsidR="002C0A59" w:rsidRPr="00FD5308" w:rsidRDefault="002C0A59" w:rsidP="002C0A59">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t>وذلك</w:t>
      </w:r>
      <w:r w:rsidRPr="00FD5308">
        <w:rPr>
          <w:rFonts w:ascii="Arabic Typesetting" w:hAnsi="Arabic Typesetting" w:cs="Arabic Typesetting"/>
          <w:b/>
          <w:bCs/>
          <w:sz w:val="72"/>
          <w:szCs w:val="72"/>
          <w:rtl/>
        </w:rPr>
        <w:t xml:space="preserve"> من جراء قسوة القلب والكثافة التي تتابعت من توالي الذنوب والمعاصي، كما قال تعالى: }كَلَّا بَلْ رَانَ عَلَى قُلُوبِهِمْ مَا كَانُوا يَكْسِبُونَ{ [المطففين: 14].</w:t>
      </w:r>
    </w:p>
    <w:p w:rsidR="002C0A59" w:rsidRPr="00FD5308" w:rsidRDefault="002C0A59" w:rsidP="002C0A59">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t>ولا</w:t>
      </w:r>
      <w:r w:rsidRPr="00FD5308">
        <w:rPr>
          <w:rFonts w:ascii="Arabic Typesetting" w:hAnsi="Arabic Typesetting" w:cs="Arabic Typesetting"/>
          <w:b/>
          <w:bCs/>
          <w:sz w:val="72"/>
          <w:szCs w:val="72"/>
          <w:rtl/>
        </w:rPr>
        <w:t xml:space="preserve"> سيما معاصي السمع والبصر واللسان فإنها سبب سريع مباشر لقسوة القلب وضعف الإيمان، ومن ثم تظهر شكوى عدم الخشوع في العبادة، وضعف التأثر عند تلاوة آيات القرآن، وكذلك ضعف أثر المواعظ </w:t>
      </w:r>
      <w:r w:rsidRPr="00FD5308">
        <w:rPr>
          <w:rFonts w:ascii="Arabic Typesetting" w:hAnsi="Arabic Typesetting" w:cs="Arabic Typesetting"/>
          <w:b/>
          <w:bCs/>
          <w:sz w:val="72"/>
          <w:szCs w:val="72"/>
          <w:rtl/>
        </w:rPr>
        <w:lastRenderedPageBreak/>
        <w:t>والذكر في القلب لأجل ذلك قال الله تعالى: }سَيَذَّكَّرُ مَنْ يَخْشَى{ [الأعلى: 10].</w:t>
      </w:r>
    </w:p>
    <w:p w:rsidR="002C0A59" w:rsidRPr="00FD5308" w:rsidRDefault="002C0A59" w:rsidP="002C0A59">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t>قال</w:t>
      </w:r>
      <w:r w:rsidRPr="00FD5308">
        <w:rPr>
          <w:rFonts w:ascii="Arabic Typesetting" w:hAnsi="Arabic Typesetting" w:cs="Arabic Typesetting"/>
          <w:b/>
          <w:bCs/>
          <w:sz w:val="72"/>
          <w:szCs w:val="72"/>
          <w:rtl/>
        </w:rPr>
        <w:t xml:space="preserve"> ابن الجوزي: «استعن على صلاح قلبك بحفظ جوارحك».</w:t>
      </w:r>
    </w:p>
    <w:p w:rsidR="002C0A59" w:rsidRPr="00FD5308" w:rsidRDefault="002C0A59" w:rsidP="002C0A59">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7- ومن علامات ضعف الإيمان أن تمر الموعظة والنصيحة والمشهد المؤثر على قلب ضعيف الإيمان كما تمر قطرة الماء على الصفا بلا أثر ولا تأثر، ومن علامات ذلك جمود العين وعدم التأثر بآيات القرآن عند قراءتها وسماعها، قال الله تعالى: }اللَّهُ نَزَّلَ أَحْسَنَ الْحَدِيث</w:t>
      </w:r>
      <w:r w:rsidRPr="00FD5308">
        <w:rPr>
          <w:rFonts w:ascii="Arabic Typesetting" w:hAnsi="Arabic Typesetting" w:cs="Arabic Typesetting" w:hint="eastAsia"/>
          <w:b/>
          <w:bCs/>
          <w:sz w:val="72"/>
          <w:szCs w:val="72"/>
          <w:rtl/>
        </w:rPr>
        <w:t>ِ</w:t>
      </w:r>
      <w:r w:rsidRPr="00FD5308">
        <w:rPr>
          <w:rFonts w:ascii="Arabic Typesetting" w:hAnsi="Arabic Typesetting" w:cs="Arabic Typesetting"/>
          <w:b/>
          <w:bCs/>
          <w:sz w:val="72"/>
          <w:szCs w:val="72"/>
          <w:rtl/>
        </w:rPr>
        <w:t xml:space="preserve"> كِتَابًا مُتَشَابِهًا مَثَانِيَ تَقْشَعِرُّ مِنْهُ جُلُودُ الَّذِينَ يَخْشَوْنَ رَبَّهُمْ ثُمَّ تَلِينُ جُلُودُهُمْ وَقُلُوبُهُمْ إِلَى ذِكْرِ اللَّهِ{ [الزمر: 23]، قال عثمان بن عفان رضي الله عنه: «لو طابت قلوبنا لما ملت كتاب الله».</w:t>
      </w:r>
    </w:p>
    <w:p w:rsidR="002C0A59" w:rsidRPr="00FD5308" w:rsidRDefault="002C0A59" w:rsidP="002C0A59">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8- ظهور الأخلاق السيئة:</w:t>
      </w:r>
    </w:p>
    <w:p w:rsidR="002C0A59" w:rsidRDefault="002C0A59" w:rsidP="002C0A59">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lastRenderedPageBreak/>
        <w:t>يظهر</w:t>
      </w:r>
      <w:r w:rsidRPr="00FD5308">
        <w:rPr>
          <w:rFonts w:ascii="Arabic Typesetting" w:hAnsi="Arabic Typesetting" w:cs="Arabic Typesetting"/>
          <w:b/>
          <w:bCs/>
          <w:sz w:val="72"/>
          <w:szCs w:val="72"/>
          <w:rtl/>
        </w:rPr>
        <w:t xml:space="preserve"> ضعف الإيمان من خلال الأخلاق السيئة كالكبر والحسد والعجب والأثرة (حب الذات). كما قال رسول الله </w:t>
      </w:r>
      <w:r w:rsidRPr="00FD5308">
        <w:rPr>
          <w:rFonts w:ascii="Arabic Typesetting" w:hAnsi="Arabic Typesetting" w:cs="Arabic Typesetting" w:hint="cs"/>
          <w:b/>
          <w:bCs/>
          <w:sz w:val="72"/>
          <w:szCs w:val="72"/>
          <w:rtl/>
        </w:rPr>
        <w:t>ﷺ</w:t>
      </w:r>
      <w:r w:rsidRPr="00FD5308">
        <w:rPr>
          <w:rFonts w:ascii="Times New Roman" w:hAnsi="Times New Roman" w:cs="Times New Roman" w:hint="cs"/>
          <w:b/>
          <w:bCs/>
          <w:sz w:val="72"/>
          <w:szCs w:val="72"/>
          <w:rtl/>
        </w:rPr>
        <w:t>‬</w:t>
      </w:r>
      <w:r w:rsidRPr="00FD5308">
        <w:rPr>
          <w:rFonts w:ascii="Arabic Typesetting" w:hAnsi="Arabic Typesetting" w:cs="Arabic Typesetting"/>
          <w:b/>
          <w:bCs/>
          <w:sz w:val="72"/>
          <w:szCs w:val="72"/>
          <w:rtl/>
        </w:rPr>
        <w:t>: «لا يؤمن أحدكم حتى يحب لأخيه ما يحب لنفسه»[ البخاري: كتاب الإيمان، باب من الإيمان أن يحب لأخيه ما يحب لنفسه.</w:t>
      </w:r>
      <w:r w:rsidRPr="00FD5308">
        <w:rPr>
          <w:rFonts w:ascii="Arabic Typesetting" w:hAnsi="Arabic Typesetting" w:cs="Arabic Typesetting" w:hint="cs"/>
          <w:b/>
          <w:bCs/>
          <w:sz w:val="72"/>
          <w:szCs w:val="72"/>
          <w:rtl/>
        </w:rPr>
        <w:t>]</w:t>
      </w:r>
      <w:r w:rsidRPr="00FD5308">
        <w:rPr>
          <w:rFonts w:ascii="Arabic Typesetting" w:hAnsi="Arabic Typesetting" w:cs="Arabic Typesetting" w:hint="eastAsia"/>
          <w:b/>
          <w:bCs/>
          <w:sz w:val="72"/>
          <w:szCs w:val="72"/>
          <w:rtl/>
        </w:rPr>
        <w:t>ومن</w:t>
      </w:r>
      <w:r w:rsidRPr="00FD5308">
        <w:rPr>
          <w:rFonts w:ascii="Arabic Typesetting" w:hAnsi="Arabic Typesetting" w:cs="Arabic Typesetting"/>
          <w:b/>
          <w:bCs/>
          <w:sz w:val="72"/>
          <w:szCs w:val="72"/>
          <w:rtl/>
        </w:rPr>
        <w:t xml:space="preserve"> ذلك عدم رعاية الأمانة (الخيانة) «لا إيمان لمن لا أمانة له»[ سبق تخريجه.</w:t>
      </w:r>
      <w:r w:rsidRPr="00FD5308">
        <w:rPr>
          <w:rFonts w:ascii="Arabic Typesetting" w:hAnsi="Arabic Typesetting" w:cs="Arabic Typesetting" w:hint="cs"/>
          <w:b/>
          <w:bCs/>
          <w:sz w:val="72"/>
          <w:szCs w:val="72"/>
          <w:rtl/>
        </w:rPr>
        <w:t>]</w:t>
      </w:r>
      <w:r w:rsidRPr="00FD5308">
        <w:rPr>
          <w:rFonts w:ascii="Arabic Typesetting" w:hAnsi="Arabic Typesetting" w:cs="Arabic Typesetting" w:hint="eastAsia"/>
          <w:b/>
          <w:bCs/>
          <w:sz w:val="72"/>
          <w:szCs w:val="72"/>
          <w:rtl/>
        </w:rPr>
        <w:t>وكذلك</w:t>
      </w:r>
      <w:r w:rsidRPr="00FD5308">
        <w:rPr>
          <w:rFonts w:ascii="Arabic Typesetting" w:hAnsi="Arabic Typesetting" w:cs="Arabic Typesetting"/>
          <w:b/>
          <w:bCs/>
          <w:sz w:val="72"/>
          <w:szCs w:val="72"/>
          <w:rtl/>
        </w:rPr>
        <w:t xml:space="preserve"> ذهاب الحياء: «والحياء شعبةٌ من الإيمان»[ البخاري: كتاب الإيمان، </w:t>
      </w:r>
    </w:p>
    <w:p w:rsidR="002C0A59" w:rsidRPr="00FD5308" w:rsidRDefault="002C0A59" w:rsidP="002C0A59">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باب أمور الإيمان.</w:t>
      </w:r>
      <w:r w:rsidRPr="00FD5308">
        <w:rPr>
          <w:rFonts w:ascii="Arabic Typesetting" w:hAnsi="Arabic Typesetting" w:cs="Arabic Typesetting" w:hint="cs"/>
          <w:b/>
          <w:bCs/>
          <w:sz w:val="72"/>
          <w:szCs w:val="72"/>
          <w:rtl/>
        </w:rPr>
        <w:t>]</w:t>
      </w:r>
    </w:p>
    <w:p w:rsidR="002C0A59" w:rsidRPr="00FD5308" w:rsidRDefault="002C0A59" w:rsidP="002C0A59">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t>وسوء</w:t>
      </w:r>
      <w:r w:rsidRPr="00FD5308">
        <w:rPr>
          <w:rFonts w:ascii="Arabic Typesetting" w:hAnsi="Arabic Typesetting" w:cs="Arabic Typesetting"/>
          <w:b/>
          <w:bCs/>
          <w:sz w:val="72"/>
          <w:szCs w:val="72"/>
          <w:rtl/>
        </w:rPr>
        <w:t xml:space="preserve"> الجوار: «من كان يؤمن بالله واليوم الآخر فلا يؤذي جاره، ومن كان يؤمن بالله واليوم الآخر فليكرم ضيفه، ومن كان يؤمن بالله واليوم الآخر </w:t>
      </w:r>
    </w:p>
    <w:p w:rsidR="002C0A59" w:rsidRPr="00FD5308" w:rsidRDefault="002C0A59" w:rsidP="002C0A59">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فليقل خيرًا أو ليسكت»[ مسلم: كتاب الإيمان، باب الحث على إكرام الجار والضيف ولزم الصمت.</w:t>
      </w:r>
      <w:r w:rsidRPr="00FD5308">
        <w:rPr>
          <w:rFonts w:ascii="Arabic Typesetting" w:hAnsi="Arabic Typesetting" w:cs="Arabic Typesetting" w:hint="cs"/>
          <w:b/>
          <w:bCs/>
          <w:sz w:val="72"/>
          <w:szCs w:val="72"/>
          <w:rtl/>
        </w:rPr>
        <w:t>]</w:t>
      </w:r>
      <w:r w:rsidRPr="00FD5308">
        <w:rPr>
          <w:rFonts w:ascii="Arabic Typesetting" w:hAnsi="Arabic Typesetting" w:cs="Arabic Typesetting" w:hint="eastAsia"/>
          <w:b/>
          <w:bCs/>
          <w:sz w:val="72"/>
          <w:szCs w:val="72"/>
          <w:rtl/>
        </w:rPr>
        <w:t>كثرة</w:t>
      </w:r>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b/>
          <w:bCs/>
          <w:sz w:val="72"/>
          <w:szCs w:val="72"/>
          <w:rtl/>
        </w:rPr>
        <w:lastRenderedPageBreak/>
        <w:t>الثرثرة والهذر: «من كان يؤمن بالله واليوم الآخر فليقل خيرًا أو ليصمت»[ البخاري: كتاب الرقاق.</w:t>
      </w:r>
      <w:r w:rsidRPr="00FD5308">
        <w:rPr>
          <w:rFonts w:ascii="Arabic Typesetting" w:hAnsi="Arabic Typesetting" w:cs="Arabic Typesetting" w:hint="cs"/>
          <w:b/>
          <w:bCs/>
          <w:sz w:val="72"/>
          <w:szCs w:val="72"/>
          <w:rtl/>
        </w:rPr>
        <w:t>]</w:t>
      </w:r>
      <w:r w:rsidRPr="00FD5308">
        <w:rPr>
          <w:rFonts w:ascii="Arabic Typesetting" w:hAnsi="Arabic Typesetting" w:cs="Arabic Typesetting" w:hint="eastAsia"/>
          <w:b/>
          <w:bCs/>
          <w:sz w:val="72"/>
          <w:szCs w:val="72"/>
          <w:rtl/>
        </w:rPr>
        <w:t>الوقوع</w:t>
      </w:r>
      <w:r w:rsidRPr="00FD5308">
        <w:rPr>
          <w:rFonts w:ascii="Arabic Typesetting" w:hAnsi="Arabic Typesetting" w:cs="Arabic Typesetting"/>
          <w:b/>
          <w:bCs/>
          <w:sz w:val="72"/>
          <w:szCs w:val="72"/>
          <w:rtl/>
        </w:rPr>
        <w:t xml:space="preserve"> في الغيبة: «يا معشر من آمن بالله بلسانه ولم يدخل الإيمان قلبه، لا تغتابوا المسلمين، ولا تتبعوا </w:t>
      </w:r>
      <w:proofErr w:type="spellStart"/>
      <w:r w:rsidRPr="00FD5308">
        <w:rPr>
          <w:rFonts w:ascii="Arabic Typesetting" w:hAnsi="Arabic Typesetting" w:cs="Arabic Typesetting"/>
          <w:b/>
          <w:bCs/>
          <w:sz w:val="72"/>
          <w:szCs w:val="72"/>
          <w:rtl/>
        </w:rPr>
        <w:t>عوراتهم</w:t>
      </w:r>
      <w:proofErr w:type="spellEnd"/>
      <w:r w:rsidRPr="00FD5308">
        <w:rPr>
          <w:rFonts w:ascii="Arabic Typesetting" w:hAnsi="Arabic Typesetting" w:cs="Arabic Typesetting"/>
          <w:b/>
          <w:bCs/>
          <w:sz w:val="72"/>
          <w:szCs w:val="72"/>
          <w:rtl/>
        </w:rPr>
        <w:t>، فإنه من يتبع عورة أخيه يتبع الله عورته حتى يفضحه في بيته»[ مسند أحمد: كتاب أول مسند البصريين، باب حديث أبي برزة الأسلمي رضي الله عنه.</w:t>
      </w:r>
      <w:r w:rsidRPr="00FD5308">
        <w:rPr>
          <w:rFonts w:ascii="Arabic Typesetting" w:hAnsi="Arabic Typesetting" w:cs="Arabic Typesetting" w:hint="cs"/>
          <w:b/>
          <w:bCs/>
          <w:sz w:val="72"/>
          <w:szCs w:val="72"/>
          <w:rtl/>
        </w:rPr>
        <w:t>]</w:t>
      </w:r>
    </w:p>
    <w:p w:rsidR="002C0A59" w:rsidRPr="00FD5308" w:rsidRDefault="002C0A59" w:rsidP="002C0A59">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9- الاستئناس بمجالس المعصية ومعاشرة أهلها:</w:t>
      </w:r>
    </w:p>
    <w:p w:rsidR="002C0A59" w:rsidRPr="00FD5308" w:rsidRDefault="002C0A59" w:rsidP="002C0A59">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t>قال</w:t>
      </w:r>
      <w:r w:rsidRPr="00FD5308">
        <w:rPr>
          <w:rFonts w:ascii="Arabic Typesetting" w:hAnsi="Arabic Typesetting" w:cs="Arabic Typesetting"/>
          <w:b/>
          <w:bCs/>
          <w:sz w:val="72"/>
          <w:szCs w:val="72"/>
          <w:rtl/>
        </w:rPr>
        <w:t xml:space="preserve"> قتادة: «إنا والله ما رأينا الرجل يصاحب من الناس إلا مثله وشكله، فصاحبوا الصالحين من عباد الله، لعلكم أن تكونوا معهم أو مثلهم».</w:t>
      </w:r>
    </w:p>
    <w:p w:rsidR="002C0A59" w:rsidRPr="00CB45D3" w:rsidRDefault="002C0A59" w:rsidP="002C0A59">
      <w:pPr>
        <w:rPr>
          <w:rFonts w:ascii="Arabic Typesetting" w:hAnsi="Arabic Typesetting" w:cs="Arabic Typesetting"/>
          <w:b/>
          <w:bCs/>
          <w:sz w:val="68"/>
          <w:szCs w:val="68"/>
          <w:rtl/>
        </w:rPr>
      </w:pPr>
      <w:r w:rsidRPr="00FD5308">
        <w:rPr>
          <w:rFonts w:ascii="Arabic Typesetting" w:hAnsi="Arabic Typesetting" w:cs="Arabic Typesetting" w:hint="eastAsia"/>
          <w:b/>
          <w:bCs/>
          <w:sz w:val="72"/>
          <w:szCs w:val="72"/>
          <w:rtl/>
        </w:rPr>
        <w:t>فخلطة</w:t>
      </w:r>
      <w:r w:rsidRPr="00FD5308">
        <w:rPr>
          <w:rFonts w:ascii="Arabic Typesetting" w:hAnsi="Arabic Typesetting" w:cs="Arabic Typesetting"/>
          <w:b/>
          <w:bCs/>
          <w:sz w:val="72"/>
          <w:szCs w:val="72"/>
          <w:rtl/>
        </w:rPr>
        <w:t xml:space="preserve"> أهل الغفلة وأهل الزيغ من أكبر أسباب مرض القلب وهبوط الإيمان ومظاهر نقصانه. قال </w:t>
      </w:r>
      <w:r w:rsidRPr="00CB45D3">
        <w:rPr>
          <w:rFonts w:ascii="Arabic Typesetting" w:hAnsi="Arabic Typesetting" w:cs="Arabic Typesetting"/>
          <w:b/>
          <w:bCs/>
          <w:sz w:val="68"/>
          <w:szCs w:val="68"/>
          <w:rtl/>
        </w:rPr>
        <w:t xml:space="preserve">الإمام ابن </w:t>
      </w:r>
      <w:r w:rsidRPr="00CB45D3">
        <w:rPr>
          <w:rFonts w:ascii="Arabic Typesetting" w:hAnsi="Arabic Typesetting" w:cs="Arabic Typesetting"/>
          <w:b/>
          <w:bCs/>
          <w:sz w:val="68"/>
          <w:szCs w:val="68"/>
          <w:rtl/>
        </w:rPr>
        <w:lastRenderedPageBreak/>
        <w:t xml:space="preserve">القيم رحمه الله: «مثل القلب مثل الطائر كلما علا بَعُد عن الآفات، وكلما نزل </w:t>
      </w:r>
      <w:proofErr w:type="spellStart"/>
      <w:r w:rsidRPr="00CB45D3">
        <w:rPr>
          <w:rFonts w:ascii="Arabic Typesetting" w:hAnsi="Arabic Typesetting" w:cs="Arabic Typesetting"/>
          <w:b/>
          <w:bCs/>
          <w:sz w:val="68"/>
          <w:szCs w:val="68"/>
          <w:rtl/>
        </w:rPr>
        <w:t>احتوشته</w:t>
      </w:r>
      <w:proofErr w:type="spellEnd"/>
      <w:r w:rsidRPr="00CB45D3">
        <w:rPr>
          <w:rFonts w:ascii="Arabic Typesetting" w:hAnsi="Arabic Typesetting" w:cs="Arabic Typesetting"/>
          <w:b/>
          <w:bCs/>
          <w:sz w:val="68"/>
          <w:szCs w:val="68"/>
          <w:rtl/>
        </w:rPr>
        <w:t xml:space="preserve"> الآفات».</w:t>
      </w:r>
    </w:p>
    <w:p w:rsidR="002C0A59" w:rsidRPr="00FD5308" w:rsidRDefault="002C0A59" w:rsidP="002C0A59">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t>قال</w:t>
      </w:r>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hint="cs"/>
          <w:b/>
          <w:bCs/>
          <w:sz w:val="72"/>
          <w:szCs w:val="72"/>
          <w:rtl/>
        </w:rPr>
        <w:t>ﷺ</w:t>
      </w:r>
      <w:r w:rsidRPr="00FD5308">
        <w:rPr>
          <w:rFonts w:ascii="Times New Roman" w:hAnsi="Times New Roman" w:cs="Times New Roman" w:hint="cs"/>
          <w:b/>
          <w:bCs/>
          <w:sz w:val="72"/>
          <w:szCs w:val="72"/>
          <w:rtl/>
        </w:rPr>
        <w:t>‬</w:t>
      </w:r>
      <w:r w:rsidRPr="00FD5308">
        <w:rPr>
          <w:rFonts w:ascii="Arabic Typesetting" w:hAnsi="Arabic Typesetting" w:cs="Arabic Typesetting"/>
          <w:b/>
          <w:bCs/>
          <w:sz w:val="72"/>
          <w:szCs w:val="72"/>
          <w:rtl/>
        </w:rPr>
        <w:t xml:space="preserve">: «المرء على دين خليله فلينظر أحدكم من </w:t>
      </w:r>
      <w:proofErr w:type="spellStart"/>
      <w:r w:rsidRPr="00FD5308">
        <w:rPr>
          <w:rFonts w:ascii="Arabic Typesetting" w:hAnsi="Arabic Typesetting" w:cs="Arabic Typesetting"/>
          <w:b/>
          <w:bCs/>
          <w:sz w:val="72"/>
          <w:szCs w:val="72"/>
          <w:rtl/>
        </w:rPr>
        <w:t>يخالل</w:t>
      </w:r>
      <w:proofErr w:type="spellEnd"/>
      <w:r w:rsidRPr="00FD5308">
        <w:rPr>
          <w:rFonts w:ascii="Arabic Typesetting" w:hAnsi="Arabic Typesetting" w:cs="Arabic Typesetting"/>
          <w:b/>
          <w:bCs/>
          <w:sz w:val="72"/>
          <w:szCs w:val="72"/>
          <w:rtl/>
        </w:rPr>
        <w:t>»[ مسند أحمد: كتاب باقي مسند المكثرين، باب مسند أبي هريرة رضي الله عنه.</w:t>
      </w:r>
      <w:r w:rsidRPr="00FD5308">
        <w:rPr>
          <w:rFonts w:ascii="Arabic Typesetting" w:hAnsi="Arabic Typesetting" w:cs="Arabic Typesetting" w:hint="cs"/>
          <w:b/>
          <w:bCs/>
          <w:sz w:val="72"/>
          <w:szCs w:val="72"/>
          <w:rtl/>
        </w:rPr>
        <w:t>]</w:t>
      </w:r>
    </w:p>
    <w:p w:rsidR="002C0A59" w:rsidRPr="00FD5308" w:rsidRDefault="002C0A59" w:rsidP="002C0A59">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t>فأضر</w:t>
      </w:r>
      <w:r w:rsidRPr="00FD5308">
        <w:rPr>
          <w:rFonts w:ascii="Arabic Typesetting" w:hAnsi="Arabic Typesetting" w:cs="Arabic Typesetting"/>
          <w:b/>
          <w:bCs/>
          <w:sz w:val="72"/>
          <w:szCs w:val="72"/>
          <w:rtl/>
        </w:rPr>
        <w:t xml:space="preserve"> الناس على إيمان الشخص قرناء السوء؛ لأن الطباع مجبولة على التأثر والاقتداء بمن يُصاحب، فمجالسة الحريص على الدنيا وكثير الحديث عنها والاهتمام بها تحرك في النفس الحرص على الدنيا، ومجالسة المبتدعة وأهل الأهواء تُردي إلى مهاوي البدع وهكذا.</w:t>
      </w:r>
    </w:p>
    <w:p w:rsidR="002C0A59" w:rsidRPr="00FD5308" w:rsidRDefault="002C0A59" w:rsidP="002C0A59">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t>قال</w:t>
      </w:r>
      <w:r w:rsidRPr="00FD5308">
        <w:rPr>
          <w:rFonts w:ascii="Arabic Typesetting" w:hAnsi="Arabic Typesetting" w:cs="Arabic Typesetting"/>
          <w:b/>
          <w:bCs/>
          <w:sz w:val="72"/>
          <w:szCs w:val="72"/>
          <w:rtl/>
        </w:rPr>
        <w:t xml:space="preserve"> سفيان الثوري: «ليس شيء أبلغ في فساد رجل وصلاحه من صاحب».</w:t>
      </w:r>
    </w:p>
    <w:p w:rsidR="00923022" w:rsidRPr="002C0A59" w:rsidRDefault="002C0A59" w:rsidP="002C0A59">
      <w:pPr>
        <w:rPr>
          <w:rFonts w:ascii="Arabic Typesetting" w:hAnsi="Arabic Typesetting" w:cs="Arabic Typesetting"/>
          <w:b/>
          <w:bCs/>
          <w:sz w:val="16"/>
          <w:szCs w:val="16"/>
        </w:rPr>
      </w:pPr>
      <w:r w:rsidRPr="00CB45D3">
        <w:rPr>
          <w:rFonts w:ascii="Arabic Typesetting" w:hAnsi="Arabic Typesetting" w:cs="Arabic Typesetting"/>
          <w:b/>
          <w:bCs/>
          <w:sz w:val="72"/>
          <w:szCs w:val="72"/>
          <w:rtl/>
        </w:rPr>
        <w:lastRenderedPageBreak/>
        <w:t xml:space="preserve">ونكمل في اللقاء القادم </w:t>
      </w:r>
      <w:r>
        <w:rPr>
          <w:rFonts w:ascii="Arabic Typesetting" w:hAnsi="Arabic Typesetting" w:cs="Arabic Typesetting"/>
          <w:b/>
          <w:bCs/>
          <w:sz w:val="72"/>
          <w:szCs w:val="72"/>
          <w:rtl/>
        </w:rPr>
        <w:t>والسلام عليكم ورحمة الله وبركات</w:t>
      </w:r>
      <w:r>
        <w:rPr>
          <w:rFonts w:ascii="Arabic Typesetting" w:hAnsi="Arabic Typesetting" w:cs="Arabic Typesetting" w:hint="cs"/>
          <w:b/>
          <w:bCs/>
          <w:sz w:val="72"/>
          <w:szCs w:val="72"/>
          <w:rtl/>
        </w:rPr>
        <w:t>ه.</w:t>
      </w:r>
      <w:bookmarkEnd w:id="0"/>
    </w:p>
    <w:sectPr w:rsidR="00923022" w:rsidRPr="002C0A59"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68B" w:rsidRDefault="004F568B" w:rsidP="002C0A59">
      <w:pPr>
        <w:spacing w:after="0" w:line="240" w:lineRule="auto"/>
      </w:pPr>
      <w:r>
        <w:separator/>
      </w:r>
    </w:p>
  </w:endnote>
  <w:endnote w:type="continuationSeparator" w:id="0">
    <w:p w:rsidR="004F568B" w:rsidRDefault="004F568B" w:rsidP="002C0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57965676"/>
      <w:docPartObj>
        <w:docPartGallery w:val="Page Numbers (Bottom of Page)"/>
        <w:docPartUnique/>
      </w:docPartObj>
    </w:sdtPr>
    <w:sdtContent>
      <w:p w:rsidR="002C0A59" w:rsidRDefault="002C0A59">
        <w:pPr>
          <w:pStyle w:val="a4"/>
          <w:jc w:val="center"/>
        </w:pPr>
        <w:r>
          <w:fldChar w:fldCharType="begin"/>
        </w:r>
        <w:r>
          <w:instrText>PAGE   \* MERGEFORMAT</w:instrText>
        </w:r>
        <w:r>
          <w:fldChar w:fldCharType="separate"/>
        </w:r>
        <w:r w:rsidRPr="002C0A59">
          <w:rPr>
            <w:noProof/>
            <w:rtl/>
            <w:lang w:val="ar-SA"/>
          </w:rPr>
          <w:t>6</w:t>
        </w:r>
        <w:r>
          <w:fldChar w:fldCharType="end"/>
        </w:r>
      </w:p>
    </w:sdtContent>
  </w:sdt>
  <w:p w:rsidR="002C0A59" w:rsidRDefault="002C0A5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68B" w:rsidRDefault="004F568B" w:rsidP="002C0A59">
      <w:pPr>
        <w:spacing w:after="0" w:line="240" w:lineRule="auto"/>
      </w:pPr>
      <w:r>
        <w:separator/>
      </w:r>
    </w:p>
  </w:footnote>
  <w:footnote w:type="continuationSeparator" w:id="0">
    <w:p w:rsidR="004F568B" w:rsidRDefault="004F568B" w:rsidP="002C0A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A59"/>
    <w:rsid w:val="002C0A59"/>
    <w:rsid w:val="004F568B"/>
    <w:rsid w:val="00923022"/>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A59"/>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0A59"/>
    <w:pPr>
      <w:tabs>
        <w:tab w:val="center" w:pos="4153"/>
        <w:tab w:val="right" w:pos="8306"/>
      </w:tabs>
      <w:spacing w:after="0" w:line="240" w:lineRule="auto"/>
    </w:pPr>
  </w:style>
  <w:style w:type="character" w:customStyle="1" w:styleId="Char">
    <w:name w:val="رأس الصفحة Char"/>
    <w:basedOn w:val="a0"/>
    <w:link w:val="a3"/>
    <w:uiPriority w:val="99"/>
    <w:rsid w:val="002C0A59"/>
    <w:rPr>
      <w:rFonts w:cs="Arial"/>
    </w:rPr>
  </w:style>
  <w:style w:type="paragraph" w:styleId="a4">
    <w:name w:val="footer"/>
    <w:basedOn w:val="a"/>
    <w:link w:val="Char0"/>
    <w:uiPriority w:val="99"/>
    <w:unhideWhenUsed/>
    <w:rsid w:val="002C0A59"/>
    <w:pPr>
      <w:tabs>
        <w:tab w:val="center" w:pos="4153"/>
        <w:tab w:val="right" w:pos="8306"/>
      </w:tabs>
      <w:spacing w:after="0" w:line="240" w:lineRule="auto"/>
    </w:pPr>
  </w:style>
  <w:style w:type="character" w:customStyle="1" w:styleId="Char0">
    <w:name w:val="تذييل الصفحة Char"/>
    <w:basedOn w:val="a0"/>
    <w:link w:val="a4"/>
    <w:uiPriority w:val="99"/>
    <w:rsid w:val="002C0A59"/>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A59"/>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0A59"/>
    <w:pPr>
      <w:tabs>
        <w:tab w:val="center" w:pos="4153"/>
        <w:tab w:val="right" w:pos="8306"/>
      </w:tabs>
      <w:spacing w:after="0" w:line="240" w:lineRule="auto"/>
    </w:pPr>
  </w:style>
  <w:style w:type="character" w:customStyle="1" w:styleId="Char">
    <w:name w:val="رأس الصفحة Char"/>
    <w:basedOn w:val="a0"/>
    <w:link w:val="a3"/>
    <w:uiPriority w:val="99"/>
    <w:rsid w:val="002C0A59"/>
    <w:rPr>
      <w:rFonts w:cs="Arial"/>
    </w:rPr>
  </w:style>
  <w:style w:type="paragraph" w:styleId="a4">
    <w:name w:val="footer"/>
    <w:basedOn w:val="a"/>
    <w:link w:val="Char0"/>
    <w:uiPriority w:val="99"/>
    <w:unhideWhenUsed/>
    <w:rsid w:val="002C0A59"/>
    <w:pPr>
      <w:tabs>
        <w:tab w:val="center" w:pos="4153"/>
        <w:tab w:val="right" w:pos="8306"/>
      </w:tabs>
      <w:spacing w:after="0" w:line="240" w:lineRule="auto"/>
    </w:pPr>
  </w:style>
  <w:style w:type="character" w:customStyle="1" w:styleId="Char0">
    <w:name w:val="تذييل الصفحة Char"/>
    <w:basedOn w:val="a0"/>
    <w:link w:val="a4"/>
    <w:uiPriority w:val="99"/>
    <w:rsid w:val="002C0A59"/>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445</Words>
  <Characters>2539</Characters>
  <Application>Microsoft Office Word</Application>
  <DocSecurity>0</DocSecurity>
  <Lines>21</Lines>
  <Paragraphs>5</Paragraphs>
  <ScaleCrop>false</ScaleCrop>
  <Company>Ahmed-Under</Company>
  <LinksUpToDate>false</LinksUpToDate>
  <CharactersWithSpaces>2979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2021-09-27T00:22:00Z</dcterms:created>
  <dcterms:modified xsi:type="dcterms:W3CDTF">2021-09-27T00:23:00Z</dcterms:modified>
</cp:coreProperties>
</file>